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E2753" w14:textId="77777777" w:rsidR="003F194C" w:rsidRDefault="003F194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81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840"/>
        <w:gridCol w:w="341"/>
        <w:gridCol w:w="6210"/>
        <w:gridCol w:w="105"/>
        <w:gridCol w:w="2322"/>
      </w:tblGrid>
      <w:tr w:rsidR="003F194C" w14:paraId="111672E7" w14:textId="77777777">
        <w:trPr>
          <w:trHeight w:val="913"/>
        </w:trPr>
        <w:tc>
          <w:tcPr>
            <w:tcW w:w="1840" w:type="dxa"/>
            <w:vMerge w:val="restart"/>
          </w:tcPr>
          <w:p w14:paraId="3F975E23" w14:textId="77777777" w:rsidR="003F194C" w:rsidRDefault="003F194C">
            <w:pPr>
              <w:ind w:left="28" w:hanging="28"/>
              <w:jc w:val="center"/>
            </w:pPr>
          </w:p>
          <w:p w14:paraId="2D034D64" w14:textId="77777777" w:rsidR="003F194C" w:rsidRDefault="00000000">
            <w:pPr>
              <w:ind w:left="28" w:hanging="28"/>
              <w:jc w:val="center"/>
            </w:pPr>
            <w:r>
              <w:rPr>
                <w:noProof/>
              </w:rPr>
              <w:drawing>
                <wp:inline distT="114300" distB="114300" distL="114300" distR="114300" wp14:anchorId="3F41E40A" wp14:editId="5DD62AD9">
                  <wp:extent cx="1038225" cy="114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038225" cy="1143000"/>
                          </a:xfrm>
                          <a:prstGeom prst="rect">
                            <a:avLst/>
                          </a:prstGeom>
                          <a:ln/>
                        </pic:spPr>
                      </pic:pic>
                    </a:graphicData>
                  </a:graphic>
                </wp:inline>
              </w:drawing>
            </w:r>
          </w:p>
        </w:tc>
        <w:tc>
          <w:tcPr>
            <w:tcW w:w="341" w:type="dxa"/>
          </w:tcPr>
          <w:p w14:paraId="72BCC5A6" w14:textId="77777777" w:rsidR="003F194C" w:rsidRDefault="003F194C">
            <w:pPr>
              <w:jc w:val="center"/>
            </w:pPr>
          </w:p>
        </w:tc>
        <w:tc>
          <w:tcPr>
            <w:tcW w:w="6315" w:type="dxa"/>
            <w:gridSpan w:val="2"/>
          </w:tcPr>
          <w:p w14:paraId="4EF766B7" w14:textId="77777777" w:rsidR="003F194C" w:rsidRDefault="003F194C">
            <w:pPr>
              <w:rPr>
                <w:b/>
                <w:sz w:val="36"/>
                <w:szCs w:val="36"/>
              </w:rPr>
            </w:pPr>
          </w:p>
          <w:p w14:paraId="042C6C9A" w14:textId="77777777" w:rsidR="003F194C" w:rsidRDefault="00000000">
            <w:pPr>
              <w:rPr>
                <w:b/>
                <w:sz w:val="36"/>
                <w:szCs w:val="36"/>
              </w:rPr>
            </w:pPr>
            <w:r>
              <w:rPr>
                <w:b/>
                <w:sz w:val="36"/>
                <w:szCs w:val="36"/>
              </w:rPr>
              <w:t>Course Outline and Evaluation Summary</w:t>
            </w:r>
          </w:p>
        </w:tc>
        <w:tc>
          <w:tcPr>
            <w:tcW w:w="2322" w:type="dxa"/>
          </w:tcPr>
          <w:p w14:paraId="374EF58F" w14:textId="77777777" w:rsidR="003F194C" w:rsidRDefault="003F194C">
            <w:pPr>
              <w:jc w:val="right"/>
              <w:rPr>
                <w:b/>
                <w:sz w:val="36"/>
                <w:szCs w:val="36"/>
              </w:rPr>
            </w:pPr>
          </w:p>
          <w:p w14:paraId="6B2F4FD4" w14:textId="77777777" w:rsidR="003F194C" w:rsidRDefault="003F194C">
            <w:pPr>
              <w:jc w:val="right"/>
              <w:rPr>
                <w:sz w:val="22"/>
                <w:szCs w:val="22"/>
              </w:rPr>
            </w:pPr>
          </w:p>
        </w:tc>
      </w:tr>
      <w:tr w:rsidR="003F194C" w14:paraId="72885C75" w14:textId="77777777">
        <w:trPr>
          <w:trHeight w:val="514"/>
        </w:trPr>
        <w:tc>
          <w:tcPr>
            <w:tcW w:w="1840" w:type="dxa"/>
            <w:vMerge/>
          </w:tcPr>
          <w:p w14:paraId="2542B733" w14:textId="77777777" w:rsidR="003F194C" w:rsidRDefault="003F194C">
            <w:pPr>
              <w:widowControl w:val="0"/>
              <w:pBdr>
                <w:top w:val="nil"/>
                <w:left w:val="nil"/>
                <w:bottom w:val="nil"/>
                <w:right w:val="nil"/>
                <w:between w:val="nil"/>
              </w:pBdr>
              <w:spacing w:line="276" w:lineRule="auto"/>
              <w:rPr>
                <w:sz w:val="22"/>
                <w:szCs w:val="22"/>
              </w:rPr>
            </w:pPr>
          </w:p>
        </w:tc>
        <w:tc>
          <w:tcPr>
            <w:tcW w:w="341" w:type="dxa"/>
          </w:tcPr>
          <w:p w14:paraId="0B7AEA9C" w14:textId="77777777" w:rsidR="003F194C" w:rsidRDefault="003F194C">
            <w:pPr>
              <w:jc w:val="center"/>
              <w:rPr>
                <w:b/>
                <w:sz w:val="28"/>
                <w:szCs w:val="28"/>
              </w:rPr>
            </w:pPr>
          </w:p>
        </w:tc>
        <w:tc>
          <w:tcPr>
            <w:tcW w:w="6210" w:type="dxa"/>
          </w:tcPr>
          <w:p w14:paraId="0587164D" w14:textId="4E1CD2D5" w:rsidR="003F194C" w:rsidRDefault="00000000">
            <w:pPr>
              <w:rPr>
                <w:sz w:val="22"/>
                <w:szCs w:val="22"/>
              </w:rPr>
            </w:pPr>
            <w:r>
              <w:rPr>
                <w:b/>
                <w:sz w:val="22"/>
                <w:szCs w:val="22"/>
              </w:rPr>
              <w:t>Course Code</w:t>
            </w:r>
            <w:r>
              <w:rPr>
                <w:sz w:val="22"/>
                <w:szCs w:val="22"/>
              </w:rPr>
              <w:t>: TEJ</w:t>
            </w:r>
            <w:r w:rsidR="00F43B79">
              <w:rPr>
                <w:sz w:val="22"/>
                <w:szCs w:val="22"/>
              </w:rPr>
              <w:t>4</w:t>
            </w:r>
            <w:r>
              <w:rPr>
                <w:sz w:val="22"/>
                <w:szCs w:val="22"/>
              </w:rPr>
              <w:t>M</w:t>
            </w:r>
          </w:p>
          <w:p w14:paraId="2A6F4138" w14:textId="6A9A997F" w:rsidR="003F194C" w:rsidRDefault="00000000">
            <w:pPr>
              <w:rPr>
                <w:sz w:val="22"/>
                <w:szCs w:val="22"/>
              </w:rPr>
            </w:pPr>
            <w:r>
              <w:rPr>
                <w:b/>
                <w:sz w:val="22"/>
                <w:szCs w:val="22"/>
              </w:rPr>
              <w:t>Grade</w:t>
            </w:r>
            <w:r>
              <w:rPr>
                <w:sz w:val="22"/>
                <w:szCs w:val="22"/>
              </w:rPr>
              <w:t>: 1</w:t>
            </w:r>
            <w:r w:rsidR="00F43B79">
              <w:rPr>
                <w:sz w:val="22"/>
                <w:szCs w:val="22"/>
              </w:rPr>
              <w:t>2</w:t>
            </w:r>
            <w:r>
              <w:rPr>
                <w:sz w:val="22"/>
                <w:szCs w:val="22"/>
              </w:rPr>
              <w:t xml:space="preserve"> University/College</w:t>
            </w:r>
            <w:r w:rsidR="00C15F97">
              <w:rPr>
                <w:sz w:val="22"/>
                <w:szCs w:val="22"/>
              </w:rPr>
              <w:t xml:space="preserve"> </w:t>
            </w:r>
          </w:p>
          <w:p w14:paraId="0925D27F" w14:textId="2C5991B4" w:rsidR="003F194C" w:rsidRDefault="00000000">
            <w:pPr>
              <w:rPr>
                <w:sz w:val="22"/>
                <w:szCs w:val="22"/>
              </w:rPr>
            </w:pPr>
            <w:r>
              <w:rPr>
                <w:b/>
                <w:sz w:val="22"/>
                <w:szCs w:val="22"/>
              </w:rPr>
              <w:t>Title of Course</w:t>
            </w:r>
            <w:r>
              <w:rPr>
                <w:sz w:val="22"/>
                <w:szCs w:val="22"/>
              </w:rPr>
              <w:t>: Computer Engineering</w:t>
            </w:r>
            <w:r w:rsidR="00C15F97">
              <w:rPr>
                <w:sz w:val="22"/>
                <w:szCs w:val="22"/>
              </w:rPr>
              <w:t xml:space="preserve"> Technology</w:t>
            </w:r>
          </w:p>
        </w:tc>
        <w:tc>
          <w:tcPr>
            <w:tcW w:w="2427" w:type="dxa"/>
            <w:gridSpan w:val="2"/>
          </w:tcPr>
          <w:p w14:paraId="0B08FAC0" w14:textId="77777777" w:rsidR="003F194C" w:rsidRDefault="003F194C">
            <w:pPr>
              <w:jc w:val="right"/>
              <w:rPr>
                <w:sz w:val="22"/>
                <w:szCs w:val="22"/>
              </w:rPr>
            </w:pPr>
          </w:p>
        </w:tc>
      </w:tr>
      <w:tr w:rsidR="003F194C" w14:paraId="525AB812" w14:textId="77777777">
        <w:trPr>
          <w:trHeight w:val="585"/>
        </w:trPr>
        <w:tc>
          <w:tcPr>
            <w:tcW w:w="1840" w:type="dxa"/>
            <w:vMerge/>
          </w:tcPr>
          <w:p w14:paraId="744FE3FF" w14:textId="77777777" w:rsidR="003F194C" w:rsidRDefault="003F194C">
            <w:pPr>
              <w:widowControl w:val="0"/>
              <w:pBdr>
                <w:top w:val="nil"/>
                <w:left w:val="nil"/>
                <w:bottom w:val="nil"/>
                <w:right w:val="nil"/>
                <w:between w:val="nil"/>
              </w:pBdr>
              <w:spacing w:line="276" w:lineRule="auto"/>
              <w:rPr>
                <w:sz w:val="22"/>
                <w:szCs w:val="22"/>
              </w:rPr>
            </w:pPr>
          </w:p>
        </w:tc>
        <w:tc>
          <w:tcPr>
            <w:tcW w:w="341" w:type="dxa"/>
          </w:tcPr>
          <w:p w14:paraId="37EA9244" w14:textId="77777777" w:rsidR="003F194C" w:rsidRDefault="003F194C">
            <w:pPr>
              <w:jc w:val="center"/>
              <w:rPr>
                <w:b/>
                <w:sz w:val="28"/>
                <w:szCs w:val="28"/>
              </w:rPr>
            </w:pPr>
          </w:p>
        </w:tc>
        <w:tc>
          <w:tcPr>
            <w:tcW w:w="6210" w:type="dxa"/>
          </w:tcPr>
          <w:p w14:paraId="3CFA1272" w14:textId="77777777" w:rsidR="003F194C" w:rsidRDefault="00000000">
            <w:pPr>
              <w:rPr>
                <w:sz w:val="22"/>
                <w:szCs w:val="22"/>
              </w:rPr>
            </w:pPr>
            <w:r>
              <w:rPr>
                <w:b/>
                <w:sz w:val="22"/>
                <w:szCs w:val="22"/>
              </w:rPr>
              <w:t>Department</w:t>
            </w:r>
            <w:r>
              <w:rPr>
                <w:sz w:val="22"/>
                <w:szCs w:val="22"/>
              </w:rPr>
              <w:t>: Computer Studies, 416-395-3210</w:t>
            </w:r>
          </w:p>
        </w:tc>
        <w:tc>
          <w:tcPr>
            <w:tcW w:w="2427" w:type="dxa"/>
            <w:gridSpan w:val="2"/>
          </w:tcPr>
          <w:p w14:paraId="60A26DCA" w14:textId="77777777" w:rsidR="003F194C" w:rsidRDefault="003F194C">
            <w:pPr>
              <w:jc w:val="right"/>
              <w:rPr>
                <w:sz w:val="22"/>
                <w:szCs w:val="22"/>
              </w:rPr>
            </w:pPr>
          </w:p>
        </w:tc>
      </w:tr>
    </w:tbl>
    <w:p w14:paraId="7D5474A2" w14:textId="77777777" w:rsidR="003F194C" w:rsidRDefault="003F194C">
      <w:pPr>
        <w:rPr>
          <w:sz w:val="6"/>
          <w:szCs w:val="6"/>
        </w:rPr>
      </w:pPr>
    </w:p>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F194C" w14:paraId="4E41BC62" w14:textId="77777777">
        <w:trPr>
          <w:trHeight w:val="276"/>
        </w:trPr>
        <w:tc>
          <w:tcPr>
            <w:tcW w:w="10790" w:type="dxa"/>
          </w:tcPr>
          <w:p w14:paraId="2C0B72D9" w14:textId="77777777" w:rsidR="003F194C" w:rsidRDefault="00000000">
            <w:pPr>
              <w:jc w:val="center"/>
              <w:rPr>
                <w:b/>
                <w:sz w:val="22"/>
                <w:szCs w:val="22"/>
              </w:rPr>
            </w:pPr>
            <w:r>
              <w:rPr>
                <w:b/>
                <w:sz w:val="22"/>
                <w:szCs w:val="22"/>
              </w:rPr>
              <w:t>Course Description</w:t>
            </w:r>
          </w:p>
        </w:tc>
      </w:tr>
      <w:tr w:rsidR="003F194C" w14:paraId="4F062F95" w14:textId="77777777" w:rsidTr="006C1C21">
        <w:trPr>
          <w:trHeight w:val="1401"/>
        </w:trPr>
        <w:tc>
          <w:tcPr>
            <w:tcW w:w="10790" w:type="dxa"/>
          </w:tcPr>
          <w:p w14:paraId="62F73A09" w14:textId="77777777" w:rsidR="006C1C21" w:rsidRDefault="006C1C21" w:rsidP="004A605D">
            <w:pPr>
              <w:spacing w:line="276" w:lineRule="auto"/>
              <w:jc w:val="both"/>
              <w:rPr>
                <w:sz w:val="20"/>
                <w:szCs w:val="20"/>
              </w:rPr>
            </w:pPr>
            <w:r w:rsidRPr="006C1C21">
              <w:rPr>
                <w:sz w:val="20"/>
                <w:szCs w:val="20"/>
              </w:rPr>
              <w:t>This course extends students’ understanding of computer systems and computer interfacing with external devices. Students will assemble computer systems by installing and configuring appropriate hardware and software, and will learn more about fundamental concepts of electronics, robotics, programming, and networks. Students will examine related environmental and societal issues, and will explore postsecondary pathways leading to careers in computer technology.</w:t>
            </w:r>
          </w:p>
          <w:p w14:paraId="483C5E9B" w14:textId="128AE014" w:rsidR="004A605D" w:rsidRDefault="004A605D" w:rsidP="004A605D">
            <w:pPr>
              <w:spacing w:line="276" w:lineRule="auto"/>
              <w:jc w:val="both"/>
              <w:rPr>
                <w:sz w:val="20"/>
                <w:szCs w:val="20"/>
              </w:rPr>
            </w:pPr>
            <w:r w:rsidRPr="004A605D">
              <w:rPr>
                <w:b/>
                <w:bCs/>
                <w:sz w:val="20"/>
                <w:szCs w:val="20"/>
              </w:rPr>
              <w:t>Prerequisite:</w:t>
            </w:r>
            <w:r w:rsidRPr="004A605D">
              <w:rPr>
                <w:sz w:val="20"/>
                <w:szCs w:val="20"/>
              </w:rPr>
              <w:t xml:space="preserve"> </w:t>
            </w:r>
            <w:r w:rsidR="006C1C21" w:rsidRPr="006C1C21">
              <w:rPr>
                <w:sz w:val="20"/>
                <w:szCs w:val="20"/>
              </w:rPr>
              <w:t>Computer Engineering Technology, Grade 11, University/College Preparation</w:t>
            </w:r>
          </w:p>
        </w:tc>
      </w:tr>
    </w:tbl>
    <w:p w14:paraId="3B5C47B6" w14:textId="77777777" w:rsidR="003F194C" w:rsidRDefault="003F194C">
      <w:pPr>
        <w:rPr>
          <w:sz w:val="6"/>
          <w:szCs w:val="6"/>
        </w:rPr>
      </w:pP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
        <w:gridCol w:w="819"/>
        <w:gridCol w:w="3211"/>
        <w:gridCol w:w="1250"/>
        <w:gridCol w:w="925"/>
        <w:gridCol w:w="3289"/>
      </w:tblGrid>
      <w:tr w:rsidR="003F194C" w14:paraId="66F872B1" w14:textId="77777777">
        <w:tc>
          <w:tcPr>
            <w:tcW w:w="10790" w:type="dxa"/>
            <w:gridSpan w:val="6"/>
          </w:tcPr>
          <w:p w14:paraId="5E37F020" w14:textId="2AB88A27" w:rsidR="003F194C" w:rsidRDefault="00000000">
            <w:pPr>
              <w:jc w:val="center"/>
              <w:rPr>
                <w:b/>
                <w:sz w:val="22"/>
                <w:szCs w:val="22"/>
              </w:rPr>
            </w:pPr>
            <w:r>
              <w:rPr>
                <w:b/>
                <w:sz w:val="22"/>
                <w:szCs w:val="22"/>
              </w:rPr>
              <w:t xml:space="preserve">Course </w:t>
            </w:r>
            <w:r w:rsidR="00EB7C6E">
              <w:rPr>
                <w:b/>
                <w:sz w:val="22"/>
                <w:szCs w:val="22"/>
              </w:rPr>
              <w:t xml:space="preserve">Assessment / </w:t>
            </w:r>
            <w:r>
              <w:rPr>
                <w:b/>
                <w:sz w:val="22"/>
                <w:szCs w:val="22"/>
              </w:rPr>
              <w:t>Evaluation</w:t>
            </w:r>
          </w:p>
          <w:p w14:paraId="2303E1C1" w14:textId="77777777" w:rsidR="003F194C" w:rsidRDefault="00000000">
            <w:pPr>
              <w:rPr>
                <w:sz w:val="21"/>
                <w:szCs w:val="21"/>
              </w:rPr>
            </w:pPr>
            <w:r>
              <w:rPr>
                <w:sz w:val="21"/>
                <w:szCs w:val="21"/>
              </w:rPr>
              <w:t xml:space="preserve">Course evaluations incorporate one or more of the achievement categories (KICA). A brief description of each category can be found </w:t>
            </w:r>
            <w:hyperlink r:id="rId5">
              <w:r>
                <w:rPr>
                  <w:color w:val="1155CC"/>
                  <w:sz w:val="21"/>
                  <w:szCs w:val="21"/>
                  <w:u w:val="single"/>
                </w:rPr>
                <w:t>here</w:t>
              </w:r>
            </w:hyperlink>
            <w:r>
              <w:rPr>
                <w:sz w:val="21"/>
                <w:szCs w:val="21"/>
              </w:rPr>
              <w:t>. The final grade is calculated using the weighted percentages below.</w:t>
            </w:r>
          </w:p>
        </w:tc>
      </w:tr>
      <w:tr w:rsidR="003F194C" w14:paraId="48AB308E" w14:textId="77777777">
        <w:tc>
          <w:tcPr>
            <w:tcW w:w="1296" w:type="dxa"/>
          </w:tcPr>
          <w:p w14:paraId="6454D860" w14:textId="77777777" w:rsidR="003F194C" w:rsidRDefault="00000000">
            <w:pPr>
              <w:rPr>
                <w:b/>
                <w:sz w:val="22"/>
                <w:szCs w:val="22"/>
              </w:rPr>
            </w:pPr>
            <w:r>
              <w:rPr>
                <w:b/>
                <w:sz w:val="20"/>
                <w:szCs w:val="20"/>
              </w:rPr>
              <w:t>Term Work:</w:t>
            </w:r>
          </w:p>
        </w:tc>
        <w:tc>
          <w:tcPr>
            <w:tcW w:w="4030" w:type="dxa"/>
            <w:gridSpan w:val="2"/>
          </w:tcPr>
          <w:p w14:paraId="25FDC02E" w14:textId="77777777" w:rsidR="003F194C" w:rsidRDefault="00000000">
            <w:pPr>
              <w:rPr>
                <w:b/>
                <w:sz w:val="22"/>
                <w:szCs w:val="22"/>
              </w:rPr>
            </w:pPr>
            <w:r>
              <w:rPr>
                <w:b/>
                <w:sz w:val="18"/>
                <w:szCs w:val="18"/>
              </w:rPr>
              <w:t>A variety of tasks where you show your learning and have marks assigned using the Achievement Categories/Strands</w:t>
            </w:r>
          </w:p>
        </w:tc>
        <w:tc>
          <w:tcPr>
            <w:tcW w:w="1250" w:type="dxa"/>
          </w:tcPr>
          <w:p w14:paraId="12C26E5E" w14:textId="77777777" w:rsidR="003F194C" w:rsidRDefault="00000000">
            <w:pPr>
              <w:rPr>
                <w:b/>
                <w:sz w:val="20"/>
                <w:szCs w:val="20"/>
              </w:rPr>
            </w:pPr>
            <w:r>
              <w:rPr>
                <w:b/>
                <w:sz w:val="20"/>
                <w:szCs w:val="20"/>
              </w:rPr>
              <w:t>Summative</w:t>
            </w:r>
          </w:p>
          <w:p w14:paraId="4810D4D4" w14:textId="77777777" w:rsidR="003F194C" w:rsidRDefault="00000000">
            <w:pPr>
              <w:rPr>
                <w:sz w:val="20"/>
                <w:szCs w:val="20"/>
              </w:rPr>
            </w:pPr>
            <w:r>
              <w:rPr>
                <w:b/>
                <w:sz w:val="20"/>
                <w:szCs w:val="20"/>
              </w:rPr>
              <w:t>Evaluation:</w:t>
            </w:r>
          </w:p>
        </w:tc>
        <w:tc>
          <w:tcPr>
            <w:tcW w:w="4214" w:type="dxa"/>
            <w:gridSpan w:val="2"/>
          </w:tcPr>
          <w:p w14:paraId="48C1AA33" w14:textId="77777777" w:rsidR="003F194C" w:rsidRDefault="00000000">
            <w:pPr>
              <w:rPr>
                <w:b/>
                <w:sz w:val="22"/>
                <w:szCs w:val="22"/>
              </w:rPr>
            </w:pPr>
            <w:r>
              <w:rPr>
                <w:b/>
                <w:sz w:val="18"/>
                <w:szCs w:val="18"/>
              </w:rPr>
              <w:t>Marked summative tasks which assess your learning on the entire course, CULMINATING TASK.</w:t>
            </w:r>
          </w:p>
        </w:tc>
      </w:tr>
      <w:tr w:rsidR="003F194C" w14:paraId="07F0D037" w14:textId="77777777">
        <w:tc>
          <w:tcPr>
            <w:tcW w:w="1296" w:type="dxa"/>
            <w:vMerge w:val="restart"/>
          </w:tcPr>
          <w:p w14:paraId="6A72A31B" w14:textId="77777777" w:rsidR="003F194C" w:rsidRDefault="00000000">
            <w:pPr>
              <w:spacing w:before="240"/>
              <w:jc w:val="right"/>
              <w:rPr>
                <w:b/>
                <w:sz w:val="94"/>
                <w:szCs w:val="94"/>
              </w:rPr>
            </w:pPr>
            <w:r>
              <w:rPr>
                <w:b/>
                <w:sz w:val="50"/>
                <w:szCs w:val="50"/>
              </w:rPr>
              <w:t>70%</w:t>
            </w:r>
          </w:p>
        </w:tc>
        <w:tc>
          <w:tcPr>
            <w:tcW w:w="819" w:type="dxa"/>
          </w:tcPr>
          <w:p w14:paraId="4AE835C0" w14:textId="77777777" w:rsidR="003F194C" w:rsidRDefault="00000000">
            <w:pPr>
              <w:jc w:val="center"/>
              <w:rPr>
                <w:sz w:val="20"/>
                <w:szCs w:val="20"/>
              </w:rPr>
            </w:pPr>
            <w:r>
              <w:rPr>
                <w:sz w:val="20"/>
                <w:szCs w:val="20"/>
              </w:rPr>
              <w:t>25%</w:t>
            </w:r>
          </w:p>
        </w:tc>
        <w:tc>
          <w:tcPr>
            <w:tcW w:w="3211" w:type="dxa"/>
          </w:tcPr>
          <w:p w14:paraId="4962D2A7" w14:textId="77777777" w:rsidR="003F194C" w:rsidRDefault="00000000">
            <w:pPr>
              <w:rPr>
                <w:sz w:val="20"/>
                <w:szCs w:val="20"/>
              </w:rPr>
            </w:pPr>
            <w:r>
              <w:rPr>
                <w:sz w:val="20"/>
                <w:szCs w:val="20"/>
              </w:rPr>
              <w:t>Knowledge &amp; Understanding</w:t>
            </w:r>
          </w:p>
        </w:tc>
        <w:tc>
          <w:tcPr>
            <w:tcW w:w="1250" w:type="dxa"/>
            <w:vMerge w:val="restart"/>
          </w:tcPr>
          <w:p w14:paraId="6F382A94" w14:textId="77777777" w:rsidR="003F194C" w:rsidRDefault="00000000">
            <w:pPr>
              <w:spacing w:before="240"/>
              <w:rPr>
                <w:b/>
                <w:sz w:val="18"/>
                <w:szCs w:val="18"/>
              </w:rPr>
            </w:pPr>
            <w:r>
              <w:rPr>
                <w:b/>
                <w:sz w:val="50"/>
                <w:szCs w:val="50"/>
              </w:rPr>
              <w:t>30%</w:t>
            </w:r>
          </w:p>
        </w:tc>
        <w:tc>
          <w:tcPr>
            <w:tcW w:w="925" w:type="dxa"/>
          </w:tcPr>
          <w:p w14:paraId="58C66EC5" w14:textId="77777777" w:rsidR="003F194C" w:rsidRDefault="00000000">
            <w:pPr>
              <w:jc w:val="center"/>
              <w:rPr>
                <w:sz w:val="20"/>
                <w:szCs w:val="20"/>
              </w:rPr>
            </w:pPr>
            <w:r>
              <w:rPr>
                <w:sz w:val="20"/>
                <w:szCs w:val="20"/>
              </w:rPr>
              <w:t>25%</w:t>
            </w:r>
          </w:p>
        </w:tc>
        <w:tc>
          <w:tcPr>
            <w:tcW w:w="3289" w:type="dxa"/>
          </w:tcPr>
          <w:p w14:paraId="4F9450E9" w14:textId="77777777" w:rsidR="003F194C" w:rsidRDefault="00000000">
            <w:pPr>
              <w:rPr>
                <w:sz w:val="20"/>
                <w:szCs w:val="20"/>
              </w:rPr>
            </w:pPr>
            <w:r>
              <w:rPr>
                <w:sz w:val="20"/>
                <w:szCs w:val="20"/>
              </w:rPr>
              <w:t>Knowledge &amp; Understanding</w:t>
            </w:r>
          </w:p>
        </w:tc>
      </w:tr>
      <w:tr w:rsidR="003F194C" w14:paraId="35C93ED5" w14:textId="77777777">
        <w:tc>
          <w:tcPr>
            <w:tcW w:w="1296" w:type="dxa"/>
            <w:vMerge/>
          </w:tcPr>
          <w:p w14:paraId="3C709217" w14:textId="77777777" w:rsidR="003F194C" w:rsidRDefault="003F194C">
            <w:pPr>
              <w:widowControl w:val="0"/>
              <w:pBdr>
                <w:top w:val="nil"/>
                <w:left w:val="nil"/>
                <w:bottom w:val="nil"/>
                <w:right w:val="nil"/>
                <w:between w:val="nil"/>
              </w:pBdr>
              <w:spacing w:line="276" w:lineRule="auto"/>
              <w:rPr>
                <w:sz w:val="22"/>
                <w:szCs w:val="22"/>
              </w:rPr>
            </w:pPr>
          </w:p>
        </w:tc>
        <w:tc>
          <w:tcPr>
            <w:tcW w:w="819" w:type="dxa"/>
          </w:tcPr>
          <w:p w14:paraId="45A15A77" w14:textId="77777777" w:rsidR="003F194C" w:rsidRDefault="00000000">
            <w:pPr>
              <w:jc w:val="center"/>
              <w:rPr>
                <w:sz w:val="20"/>
                <w:szCs w:val="20"/>
              </w:rPr>
            </w:pPr>
            <w:r>
              <w:rPr>
                <w:sz w:val="20"/>
                <w:szCs w:val="20"/>
              </w:rPr>
              <w:t>20%</w:t>
            </w:r>
          </w:p>
        </w:tc>
        <w:tc>
          <w:tcPr>
            <w:tcW w:w="3211" w:type="dxa"/>
          </w:tcPr>
          <w:p w14:paraId="5A186677" w14:textId="77777777" w:rsidR="003F194C" w:rsidRDefault="00000000">
            <w:pPr>
              <w:rPr>
                <w:sz w:val="20"/>
                <w:szCs w:val="20"/>
              </w:rPr>
            </w:pPr>
            <w:r>
              <w:rPr>
                <w:sz w:val="20"/>
                <w:szCs w:val="20"/>
              </w:rPr>
              <w:t>Thinking &amp; Inquiry</w:t>
            </w:r>
          </w:p>
        </w:tc>
        <w:tc>
          <w:tcPr>
            <w:tcW w:w="1250" w:type="dxa"/>
            <w:vMerge/>
          </w:tcPr>
          <w:p w14:paraId="751FB7E6" w14:textId="77777777" w:rsidR="003F194C" w:rsidRDefault="003F194C">
            <w:pPr>
              <w:widowControl w:val="0"/>
              <w:pBdr>
                <w:top w:val="nil"/>
                <w:left w:val="nil"/>
                <w:bottom w:val="nil"/>
                <w:right w:val="nil"/>
                <w:between w:val="nil"/>
              </w:pBdr>
              <w:spacing w:line="276" w:lineRule="auto"/>
              <w:rPr>
                <w:sz w:val="22"/>
                <w:szCs w:val="22"/>
              </w:rPr>
            </w:pPr>
          </w:p>
        </w:tc>
        <w:tc>
          <w:tcPr>
            <w:tcW w:w="925" w:type="dxa"/>
          </w:tcPr>
          <w:p w14:paraId="5CDED622" w14:textId="77777777" w:rsidR="003F194C" w:rsidRDefault="00000000">
            <w:pPr>
              <w:jc w:val="center"/>
              <w:rPr>
                <w:sz w:val="20"/>
                <w:szCs w:val="20"/>
              </w:rPr>
            </w:pPr>
            <w:r>
              <w:rPr>
                <w:sz w:val="20"/>
                <w:szCs w:val="20"/>
              </w:rPr>
              <w:t>20%</w:t>
            </w:r>
          </w:p>
        </w:tc>
        <w:tc>
          <w:tcPr>
            <w:tcW w:w="3289" w:type="dxa"/>
          </w:tcPr>
          <w:p w14:paraId="6BC9BFA0" w14:textId="77777777" w:rsidR="003F194C" w:rsidRDefault="00000000">
            <w:pPr>
              <w:rPr>
                <w:sz w:val="20"/>
                <w:szCs w:val="20"/>
              </w:rPr>
            </w:pPr>
            <w:r>
              <w:rPr>
                <w:sz w:val="20"/>
                <w:szCs w:val="20"/>
              </w:rPr>
              <w:t>Thinking &amp; Inquiry</w:t>
            </w:r>
          </w:p>
        </w:tc>
      </w:tr>
      <w:tr w:rsidR="003F194C" w14:paraId="2F55D598" w14:textId="77777777">
        <w:tc>
          <w:tcPr>
            <w:tcW w:w="1296" w:type="dxa"/>
            <w:vMerge/>
          </w:tcPr>
          <w:p w14:paraId="047C45D4" w14:textId="77777777" w:rsidR="003F194C" w:rsidRDefault="003F194C">
            <w:pPr>
              <w:widowControl w:val="0"/>
              <w:pBdr>
                <w:top w:val="nil"/>
                <w:left w:val="nil"/>
                <w:bottom w:val="nil"/>
                <w:right w:val="nil"/>
                <w:between w:val="nil"/>
              </w:pBdr>
              <w:spacing w:line="276" w:lineRule="auto"/>
              <w:rPr>
                <w:sz w:val="22"/>
                <w:szCs w:val="22"/>
              </w:rPr>
            </w:pPr>
          </w:p>
        </w:tc>
        <w:tc>
          <w:tcPr>
            <w:tcW w:w="819" w:type="dxa"/>
          </w:tcPr>
          <w:p w14:paraId="2E8F7E54" w14:textId="77777777" w:rsidR="003F194C" w:rsidRDefault="00000000">
            <w:pPr>
              <w:jc w:val="center"/>
              <w:rPr>
                <w:sz w:val="20"/>
                <w:szCs w:val="20"/>
              </w:rPr>
            </w:pPr>
            <w:r>
              <w:rPr>
                <w:sz w:val="20"/>
                <w:szCs w:val="20"/>
              </w:rPr>
              <w:t>35%</w:t>
            </w:r>
          </w:p>
        </w:tc>
        <w:tc>
          <w:tcPr>
            <w:tcW w:w="3211" w:type="dxa"/>
          </w:tcPr>
          <w:p w14:paraId="51EE2BB7" w14:textId="77777777" w:rsidR="003F194C" w:rsidRDefault="00000000">
            <w:pPr>
              <w:rPr>
                <w:sz w:val="20"/>
                <w:szCs w:val="20"/>
              </w:rPr>
            </w:pPr>
            <w:r>
              <w:rPr>
                <w:sz w:val="20"/>
                <w:szCs w:val="20"/>
              </w:rPr>
              <w:t>Application</w:t>
            </w:r>
          </w:p>
        </w:tc>
        <w:tc>
          <w:tcPr>
            <w:tcW w:w="1250" w:type="dxa"/>
            <w:vMerge/>
          </w:tcPr>
          <w:p w14:paraId="390FE518" w14:textId="77777777" w:rsidR="003F194C" w:rsidRDefault="003F194C">
            <w:pPr>
              <w:widowControl w:val="0"/>
              <w:pBdr>
                <w:top w:val="nil"/>
                <w:left w:val="nil"/>
                <w:bottom w:val="nil"/>
                <w:right w:val="nil"/>
                <w:between w:val="nil"/>
              </w:pBdr>
              <w:spacing w:line="276" w:lineRule="auto"/>
              <w:rPr>
                <w:sz w:val="22"/>
                <w:szCs w:val="22"/>
              </w:rPr>
            </w:pPr>
          </w:p>
        </w:tc>
        <w:tc>
          <w:tcPr>
            <w:tcW w:w="925" w:type="dxa"/>
          </w:tcPr>
          <w:p w14:paraId="31D4ACDA" w14:textId="77777777" w:rsidR="003F194C" w:rsidRDefault="00000000">
            <w:pPr>
              <w:jc w:val="center"/>
              <w:rPr>
                <w:sz w:val="20"/>
                <w:szCs w:val="20"/>
              </w:rPr>
            </w:pPr>
            <w:r>
              <w:rPr>
                <w:sz w:val="20"/>
                <w:szCs w:val="20"/>
              </w:rPr>
              <w:t>35%</w:t>
            </w:r>
          </w:p>
        </w:tc>
        <w:tc>
          <w:tcPr>
            <w:tcW w:w="3289" w:type="dxa"/>
          </w:tcPr>
          <w:p w14:paraId="46F7E696" w14:textId="77777777" w:rsidR="003F194C" w:rsidRDefault="00000000">
            <w:pPr>
              <w:rPr>
                <w:sz w:val="20"/>
                <w:szCs w:val="20"/>
              </w:rPr>
            </w:pPr>
            <w:r>
              <w:rPr>
                <w:sz w:val="20"/>
                <w:szCs w:val="20"/>
              </w:rPr>
              <w:t>Application</w:t>
            </w:r>
          </w:p>
        </w:tc>
      </w:tr>
      <w:tr w:rsidR="003F194C" w14:paraId="2BEB2474" w14:textId="77777777">
        <w:tc>
          <w:tcPr>
            <w:tcW w:w="1296" w:type="dxa"/>
            <w:vMerge/>
          </w:tcPr>
          <w:p w14:paraId="0AEFFE8A" w14:textId="77777777" w:rsidR="003F194C" w:rsidRDefault="003F194C">
            <w:pPr>
              <w:widowControl w:val="0"/>
              <w:pBdr>
                <w:top w:val="nil"/>
                <w:left w:val="nil"/>
                <w:bottom w:val="nil"/>
                <w:right w:val="nil"/>
                <w:between w:val="nil"/>
              </w:pBdr>
              <w:spacing w:line="276" w:lineRule="auto"/>
              <w:rPr>
                <w:sz w:val="22"/>
                <w:szCs w:val="22"/>
              </w:rPr>
            </w:pPr>
          </w:p>
        </w:tc>
        <w:tc>
          <w:tcPr>
            <w:tcW w:w="819" w:type="dxa"/>
          </w:tcPr>
          <w:p w14:paraId="3404B133" w14:textId="77777777" w:rsidR="003F194C" w:rsidRDefault="00000000">
            <w:pPr>
              <w:jc w:val="center"/>
              <w:rPr>
                <w:sz w:val="20"/>
                <w:szCs w:val="20"/>
              </w:rPr>
            </w:pPr>
            <w:r>
              <w:rPr>
                <w:sz w:val="20"/>
                <w:szCs w:val="20"/>
              </w:rPr>
              <w:t>20%</w:t>
            </w:r>
          </w:p>
        </w:tc>
        <w:tc>
          <w:tcPr>
            <w:tcW w:w="3211" w:type="dxa"/>
          </w:tcPr>
          <w:p w14:paraId="330ECCCB" w14:textId="77777777" w:rsidR="003F194C" w:rsidRDefault="00000000">
            <w:pPr>
              <w:rPr>
                <w:sz w:val="20"/>
                <w:szCs w:val="20"/>
              </w:rPr>
            </w:pPr>
            <w:r>
              <w:rPr>
                <w:sz w:val="20"/>
                <w:szCs w:val="20"/>
              </w:rPr>
              <w:t>Communication</w:t>
            </w:r>
          </w:p>
        </w:tc>
        <w:tc>
          <w:tcPr>
            <w:tcW w:w="1250" w:type="dxa"/>
            <w:vMerge/>
          </w:tcPr>
          <w:p w14:paraId="59D3445D" w14:textId="77777777" w:rsidR="003F194C" w:rsidRDefault="003F194C">
            <w:pPr>
              <w:widowControl w:val="0"/>
              <w:pBdr>
                <w:top w:val="nil"/>
                <w:left w:val="nil"/>
                <w:bottom w:val="nil"/>
                <w:right w:val="nil"/>
                <w:between w:val="nil"/>
              </w:pBdr>
              <w:spacing w:line="276" w:lineRule="auto"/>
              <w:rPr>
                <w:sz w:val="22"/>
                <w:szCs w:val="22"/>
              </w:rPr>
            </w:pPr>
          </w:p>
        </w:tc>
        <w:tc>
          <w:tcPr>
            <w:tcW w:w="925" w:type="dxa"/>
          </w:tcPr>
          <w:p w14:paraId="18F27B9B" w14:textId="77777777" w:rsidR="003F194C" w:rsidRDefault="00000000">
            <w:pPr>
              <w:jc w:val="center"/>
              <w:rPr>
                <w:sz w:val="20"/>
                <w:szCs w:val="20"/>
              </w:rPr>
            </w:pPr>
            <w:r>
              <w:rPr>
                <w:sz w:val="20"/>
                <w:szCs w:val="20"/>
              </w:rPr>
              <w:t>20%</w:t>
            </w:r>
          </w:p>
        </w:tc>
        <w:tc>
          <w:tcPr>
            <w:tcW w:w="3289" w:type="dxa"/>
          </w:tcPr>
          <w:p w14:paraId="297C984A" w14:textId="77777777" w:rsidR="003F194C" w:rsidRDefault="00000000">
            <w:pPr>
              <w:rPr>
                <w:sz w:val="20"/>
                <w:szCs w:val="20"/>
              </w:rPr>
            </w:pPr>
            <w:r>
              <w:rPr>
                <w:sz w:val="20"/>
                <w:szCs w:val="20"/>
              </w:rPr>
              <w:t>Communication</w:t>
            </w:r>
          </w:p>
        </w:tc>
      </w:tr>
    </w:tbl>
    <w:p w14:paraId="76E23A3F" w14:textId="77777777" w:rsidR="003F194C" w:rsidRDefault="003F194C">
      <w:pPr>
        <w:rPr>
          <w:sz w:val="6"/>
          <w:szCs w:val="6"/>
        </w:rPr>
      </w:pP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F194C" w14:paraId="6A12B3A7" w14:textId="77777777">
        <w:tc>
          <w:tcPr>
            <w:tcW w:w="10790" w:type="dxa"/>
          </w:tcPr>
          <w:p w14:paraId="5FE1875C" w14:textId="77777777" w:rsidR="003F194C" w:rsidRDefault="00000000">
            <w:pPr>
              <w:jc w:val="center"/>
              <w:rPr>
                <w:b/>
                <w:sz w:val="22"/>
                <w:szCs w:val="22"/>
              </w:rPr>
            </w:pPr>
            <w:r>
              <w:rPr>
                <w:b/>
                <w:sz w:val="22"/>
                <w:szCs w:val="22"/>
              </w:rPr>
              <w:t>Learning Skills</w:t>
            </w:r>
          </w:p>
        </w:tc>
      </w:tr>
      <w:tr w:rsidR="003F194C" w14:paraId="4CCE1AF7" w14:textId="77777777">
        <w:tc>
          <w:tcPr>
            <w:tcW w:w="10790" w:type="dxa"/>
          </w:tcPr>
          <w:p w14:paraId="6A8308B3" w14:textId="77777777" w:rsidR="003F194C" w:rsidRDefault="00000000">
            <w:pPr>
              <w:rPr>
                <w:sz w:val="22"/>
                <w:szCs w:val="22"/>
              </w:rPr>
            </w:pPr>
            <w:r>
              <w:rPr>
                <w:sz w:val="22"/>
                <w:szCs w:val="22"/>
              </w:rPr>
              <w:t xml:space="preserve">Learning skills provide Information to help students understand what skills, habits &amp; behaviors are needed to work on to be successful. These are </w:t>
            </w:r>
            <w:r>
              <w:rPr>
                <w:sz w:val="22"/>
                <w:szCs w:val="22"/>
                <w:u w:val="single"/>
              </w:rPr>
              <w:t>not</w:t>
            </w:r>
            <w:r>
              <w:rPr>
                <w:sz w:val="22"/>
                <w:szCs w:val="22"/>
              </w:rPr>
              <w:t xml:space="preserve"> connected with any numerical mark. A brief description of each skill can be found </w:t>
            </w:r>
            <w:hyperlink r:id="rId6" w:anchor="page=17">
              <w:r>
                <w:rPr>
                  <w:color w:val="1155CC"/>
                  <w:sz w:val="22"/>
                  <w:szCs w:val="22"/>
                  <w:u w:val="single"/>
                </w:rPr>
                <w:t>here</w:t>
              </w:r>
            </w:hyperlink>
            <w:r>
              <w:rPr>
                <w:sz w:val="22"/>
                <w:szCs w:val="22"/>
              </w:rPr>
              <w:t xml:space="preserve">. </w:t>
            </w:r>
          </w:p>
          <w:p w14:paraId="3FF19E9B" w14:textId="77777777" w:rsidR="003F194C" w:rsidRDefault="00000000">
            <w:pPr>
              <w:jc w:val="center"/>
              <w:rPr>
                <w:b/>
                <w:sz w:val="22"/>
                <w:szCs w:val="22"/>
              </w:rPr>
            </w:pPr>
            <w:r>
              <w:rPr>
                <w:b/>
                <w:sz w:val="22"/>
                <w:szCs w:val="22"/>
              </w:rPr>
              <w:t>Responsibility, Organization, Independent Work, Collaboration, Initiative and Self-Regulation</w:t>
            </w:r>
          </w:p>
          <w:p w14:paraId="335E8982" w14:textId="77777777" w:rsidR="003F194C" w:rsidRDefault="00000000">
            <w:pPr>
              <w:jc w:val="center"/>
              <w:rPr>
                <w:b/>
                <w:sz w:val="22"/>
                <w:szCs w:val="22"/>
              </w:rPr>
            </w:pPr>
            <w:r>
              <w:rPr>
                <w:sz w:val="22"/>
                <w:szCs w:val="22"/>
              </w:rPr>
              <w:t>E – Excellent    G – Good    S – Satisfactory    N – Needs Improvement</w:t>
            </w:r>
          </w:p>
        </w:tc>
      </w:tr>
    </w:tbl>
    <w:p w14:paraId="19ED4E4C" w14:textId="77777777" w:rsidR="003F194C" w:rsidRDefault="003F194C">
      <w:pPr>
        <w:rPr>
          <w:sz w:val="6"/>
          <w:szCs w:val="6"/>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F194C" w14:paraId="4A27C85D" w14:textId="77777777">
        <w:tc>
          <w:tcPr>
            <w:tcW w:w="10790" w:type="dxa"/>
          </w:tcPr>
          <w:p w14:paraId="3FE187E9" w14:textId="77777777" w:rsidR="003F194C" w:rsidRDefault="00000000">
            <w:pPr>
              <w:widowControl w:val="0"/>
              <w:ind w:right="-184"/>
            </w:pPr>
            <w:r>
              <w:rPr>
                <w:b/>
                <w:sz w:val="22"/>
                <w:szCs w:val="22"/>
              </w:rPr>
              <w:t xml:space="preserve">Required Materials: </w:t>
            </w:r>
            <w:r>
              <w:rPr>
                <w:sz w:val="22"/>
                <w:szCs w:val="22"/>
              </w:rPr>
              <w:t xml:space="preserve">Any educational resource required for this course will be provided by the school. Students must be prepared to take notes during class and to follow all lesson processes and procedures. </w:t>
            </w:r>
          </w:p>
        </w:tc>
      </w:tr>
    </w:tbl>
    <w:p w14:paraId="733E8600" w14:textId="77777777" w:rsidR="003F194C" w:rsidRDefault="003F194C">
      <w:pPr>
        <w:rPr>
          <w:sz w:val="6"/>
          <w:szCs w:val="6"/>
        </w:rPr>
      </w:pPr>
    </w:p>
    <w:p w14:paraId="40A7B59F" w14:textId="77777777" w:rsidR="003F194C" w:rsidRDefault="003F194C">
      <w:pPr>
        <w:rPr>
          <w:sz w:val="6"/>
          <w:szCs w:val="6"/>
        </w:rPr>
      </w:pP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F194C" w14:paraId="07256A9F" w14:textId="77777777">
        <w:tc>
          <w:tcPr>
            <w:tcW w:w="10790" w:type="dxa"/>
          </w:tcPr>
          <w:p w14:paraId="7CEF65E8" w14:textId="77777777" w:rsidR="003F194C" w:rsidRDefault="00000000">
            <w:pPr>
              <w:jc w:val="center"/>
              <w:rPr>
                <w:b/>
                <w:sz w:val="22"/>
                <w:szCs w:val="22"/>
              </w:rPr>
            </w:pPr>
            <w:r>
              <w:rPr>
                <w:b/>
                <w:sz w:val="22"/>
                <w:szCs w:val="22"/>
              </w:rPr>
              <w:t>School/Departmental/Classroom Expectations</w:t>
            </w:r>
          </w:p>
        </w:tc>
      </w:tr>
      <w:tr w:rsidR="003F194C" w14:paraId="0167F0C7" w14:textId="77777777" w:rsidTr="00D22DE9">
        <w:trPr>
          <w:trHeight w:val="1408"/>
        </w:trPr>
        <w:tc>
          <w:tcPr>
            <w:tcW w:w="10790" w:type="dxa"/>
          </w:tcPr>
          <w:p w14:paraId="7CC4C956" w14:textId="77777777" w:rsidR="004A605D" w:rsidRDefault="004A605D" w:rsidP="004A605D">
            <w:pPr>
              <w:pStyle w:val="NormalWeb"/>
              <w:spacing w:before="0" w:beforeAutospacing="0" w:after="0" w:afterAutospacing="0"/>
            </w:pPr>
            <w:r>
              <w:rPr>
                <w:rFonts w:ascii="Calibri" w:hAnsi="Calibri" w:cs="Calibri"/>
                <w:b/>
                <w:bCs/>
                <w:color w:val="000000"/>
                <w:sz w:val="22"/>
                <w:szCs w:val="22"/>
                <w:u w:val="single"/>
              </w:rPr>
              <w:t>Attendance:</w:t>
            </w:r>
            <w:r>
              <w:rPr>
                <w:rFonts w:ascii="Calibri" w:hAnsi="Calibri" w:cs="Calibri"/>
                <w:b/>
                <w:bCs/>
                <w:color w:val="000000"/>
                <w:sz w:val="22"/>
                <w:szCs w:val="22"/>
              </w:rPr>
              <w:t xml:space="preserve"> </w:t>
            </w:r>
            <w:r>
              <w:rPr>
                <w:rFonts w:ascii="Calibri" w:hAnsi="Calibri" w:cs="Calibri"/>
                <w:color w:val="000000"/>
                <w:sz w:val="22"/>
                <w:szCs w:val="22"/>
              </w:rPr>
              <w:t>The student is expected to attend class on time. Parents/guardians will be contacted if lates/attendance becomes an issue/hindrance. If the student knows about an absence in advance, they should contact the teacher.</w:t>
            </w:r>
          </w:p>
          <w:p w14:paraId="246CE1B4" w14:textId="77777777" w:rsidR="004A605D" w:rsidRDefault="004A605D" w:rsidP="004A605D">
            <w:pPr>
              <w:pStyle w:val="NormalWeb"/>
              <w:spacing w:before="0" w:beforeAutospacing="0" w:after="0" w:afterAutospacing="0"/>
            </w:pPr>
            <w:r>
              <w:rPr>
                <w:rFonts w:ascii="Calibri" w:hAnsi="Calibri" w:cs="Calibri"/>
                <w:b/>
                <w:bCs/>
                <w:color w:val="000000"/>
                <w:sz w:val="22"/>
                <w:szCs w:val="22"/>
                <w:u w:val="single"/>
              </w:rPr>
              <w:t>Plagiarism/Cheating:</w:t>
            </w:r>
            <w:r>
              <w:rPr>
                <w:rFonts w:ascii="Calibri" w:hAnsi="Calibri" w:cs="Calibri"/>
                <w:color w:val="000000"/>
                <w:sz w:val="22"/>
                <w:szCs w:val="22"/>
              </w:rPr>
              <w:t xml:space="preserve"> A mark of 0 will be assigned for any work submitted that does not belong to the student. A mark of 0 will be assigned to a student who was found to have cheated. Parents/guardians will be informed.</w:t>
            </w:r>
          </w:p>
          <w:p w14:paraId="001B7ACE" w14:textId="77777777" w:rsidR="004A605D" w:rsidRDefault="004A605D" w:rsidP="004A605D">
            <w:pPr>
              <w:pStyle w:val="NormalWeb"/>
              <w:spacing w:before="0" w:beforeAutospacing="0" w:after="0" w:afterAutospacing="0"/>
            </w:pPr>
            <w:r>
              <w:rPr>
                <w:rFonts w:ascii="Calibri" w:hAnsi="Calibri" w:cs="Calibri"/>
                <w:b/>
                <w:bCs/>
                <w:color w:val="000000"/>
                <w:sz w:val="22"/>
                <w:szCs w:val="22"/>
                <w:u w:val="single"/>
              </w:rPr>
              <w:t>Artificial Intelligence (AI) Use:</w:t>
            </w:r>
            <w:r>
              <w:rPr>
                <w:rFonts w:ascii="Calibri" w:hAnsi="Calibri" w:cs="Calibri"/>
                <w:color w:val="000000"/>
                <w:sz w:val="22"/>
                <w:szCs w:val="22"/>
              </w:rPr>
              <w:t xml:space="preserve"> If a teacher suspects a student of using AI to complete assessed course work, they will approach the student with their concerns. The teacher may decide to further interview the student on the work they submitted. Should this interview result in the teacher being unsatisfied with the student’s knowledge of the work they submitted a mark of 0 may be assigned. Parents/guardians will be informed.</w:t>
            </w:r>
          </w:p>
          <w:p w14:paraId="3942DE18" w14:textId="77777777" w:rsidR="004A605D" w:rsidRDefault="004A605D" w:rsidP="004A605D">
            <w:pPr>
              <w:pStyle w:val="NormalWeb"/>
              <w:spacing w:before="0" w:beforeAutospacing="0" w:after="0" w:afterAutospacing="0"/>
            </w:pPr>
            <w:r>
              <w:rPr>
                <w:rFonts w:ascii="Calibri" w:hAnsi="Calibri" w:cs="Calibri"/>
                <w:b/>
                <w:bCs/>
                <w:color w:val="000000"/>
                <w:sz w:val="22"/>
                <w:szCs w:val="22"/>
                <w:u w:val="single"/>
              </w:rPr>
              <w:t>Missed Work:</w:t>
            </w:r>
            <w:r>
              <w:rPr>
                <w:rFonts w:ascii="Calibri" w:hAnsi="Calibri" w:cs="Calibri"/>
                <w:b/>
                <w:bCs/>
                <w:color w:val="000000"/>
                <w:sz w:val="22"/>
                <w:szCs w:val="22"/>
              </w:rPr>
              <w:t xml:space="preserve"> </w:t>
            </w:r>
            <w:r>
              <w:rPr>
                <w:rFonts w:ascii="Calibri" w:hAnsi="Calibri" w:cs="Calibri"/>
                <w:color w:val="000000"/>
                <w:sz w:val="22"/>
                <w:szCs w:val="22"/>
              </w:rPr>
              <w:t xml:space="preserve">If a student is absent from class, (e.g. illness, sports team) it is </w:t>
            </w:r>
            <w:r>
              <w:rPr>
                <w:rFonts w:ascii="Calibri" w:hAnsi="Calibri" w:cs="Calibri"/>
                <w:b/>
                <w:bCs/>
                <w:color w:val="000000"/>
                <w:sz w:val="22"/>
                <w:szCs w:val="22"/>
                <w:u w:val="single"/>
              </w:rPr>
              <w:t xml:space="preserve">their </w:t>
            </w:r>
            <w:r>
              <w:rPr>
                <w:rFonts w:ascii="Calibri" w:hAnsi="Calibri" w:cs="Calibri"/>
                <w:color w:val="000000"/>
                <w:sz w:val="22"/>
                <w:szCs w:val="22"/>
              </w:rPr>
              <w:t>responsibility to find out what they have missed and to catch up. The student is responsible for completing all of the work that was missed due to an absence. If a student misses an assignment or test without a legitimate explanation and documentation, marks up to and including the full value of the evaluation may be deducted. Make-up tests must be arranged to be written.</w:t>
            </w:r>
          </w:p>
          <w:p w14:paraId="554F0D78" w14:textId="77777777" w:rsidR="004A605D" w:rsidRDefault="004A605D" w:rsidP="004A605D">
            <w:pPr>
              <w:pStyle w:val="NormalWeb"/>
              <w:spacing w:before="0" w:beforeAutospacing="0" w:after="0" w:afterAutospacing="0"/>
            </w:pPr>
            <w:r>
              <w:rPr>
                <w:rFonts w:ascii="Calibri" w:hAnsi="Calibri" w:cs="Calibri"/>
                <w:b/>
                <w:bCs/>
                <w:color w:val="000000"/>
                <w:sz w:val="22"/>
                <w:szCs w:val="22"/>
                <w:u w:val="single"/>
              </w:rPr>
              <w:t xml:space="preserve">Late Work: </w:t>
            </w:r>
            <w:r>
              <w:rPr>
                <w:rFonts w:ascii="Calibri" w:hAnsi="Calibri" w:cs="Calibri"/>
                <w:color w:val="000000"/>
                <w:sz w:val="22"/>
                <w:szCs w:val="22"/>
              </w:rPr>
              <w:t>Late work may result in a deduction of marks up to and including the full value of the evaluation.</w:t>
            </w:r>
          </w:p>
          <w:p w14:paraId="5EEE921B" w14:textId="29A41611" w:rsidR="003F194C" w:rsidRDefault="004A605D" w:rsidP="004A605D">
            <w:pPr>
              <w:pBdr>
                <w:top w:val="nil"/>
                <w:left w:val="nil"/>
                <w:bottom w:val="nil"/>
                <w:right w:val="nil"/>
                <w:between w:val="nil"/>
              </w:pBdr>
              <w:rPr>
                <w:sz w:val="22"/>
                <w:szCs w:val="22"/>
              </w:rPr>
            </w:pPr>
            <w:r>
              <w:rPr>
                <w:b/>
                <w:bCs/>
                <w:color w:val="000000"/>
                <w:sz w:val="22"/>
                <w:szCs w:val="22"/>
                <w:u w:val="single"/>
              </w:rPr>
              <w:t>Cell Phone Policy:</w:t>
            </w:r>
            <w:r>
              <w:rPr>
                <w:color w:val="000000"/>
                <w:sz w:val="22"/>
                <w:szCs w:val="22"/>
              </w:rPr>
              <w:t xml:space="preserve"> Personal mobile devices must be stored out of view and powered off or set to silent mode during instructional time, except when their use is explicitly permitted by the educator for the following circumstances: for educational purposes (as permitted by your teacher), for health and medical purposes, and to support special education. If your teacher sees a personal mobile device that is not stored out of view, they can request that device </w:t>
            </w:r>
            <w:r>
              <w:rPr>
                <w:color w:val="000000"/>
                <w:sz w:val="22"/>
                <w:szCs w:val="22"/>
              </w:rPr>
              <w:lastRenderedPageBreak/>
              <w:t>be handed in for the instructional period and the device must be placed, by the student, in a storage area in a location in the classroom. Administration will be called, and the student will be removed from the classroom should the student fail to comply with the teacher's requests in a timely manner. Parents/guardians will be informed.</w:t>
            </w:r>
          </w:p>
        </w:tc>
      </w:tr>
    </w:tbl>
    <w:p w14:paraId="0B8CA30A" w14:textId="77777777" w:rsidR="003F194C" w:rsidRDefault="003F194C">
      <w:pPr>
        <w:rPr>
          <w:sz w:val="6"/>
          <w:szCs w:val="6"/>
        </w:rPr>
      </w:pPr>
    </w:p>
    <w:p w14:paraId="2D577893" w14:textId="77777777" w:rsidR="003F194C" w:rsidRDefault="003F194C">
      <w:pPr>
        <w:rPr>
          <w:sz w:val="6"/>
          <w:szCs w:val="6"/>
        </w:rPr>
      </w:pPr>
    </w:p>
    <w:p w14:paraId="0FB95863" w14:textId="77777777" w:rsidR="003F194C" w:rsidRDefault="003F194C">
      <w:pPr>
        <w:rPr>
          <w:sz w:val="6"/>
          <w:szCs w:val="6"/>
        </w:rPr>
      </w:pPr>
    </w:p>
    <w:p w14:paraId="548099E7" w14:textId="77777777" w:rsidR="003F194C" w:rsidRDefault="003F194C">
      <w:pPr>
        <w:rPr>
          <w:sz w:val="6"/>
          <w:szCs w:val="6"/>
        </w:rPr>
      </w:pPr>
    </w:p>
    <w:p w14:paraId="649D237F" w14:textId="77777777" w:rsidR="003F194C" w:rsidRDefault="003F194C">
      <w:pPr>
        <w:rPr>
          <w:sz w:val="6"/>
          <w:szCs w:val="6"/>
        </w:rPr>
      </w:pPr>
    </w:p>
    <w:p w14:paraId="7B67A8EF" w14:textId="77777777" w:rsidR="003F194C" w:rsidRDefault="003F194C">
      <w:pPr>
        <w:rPr>
          <w:sz w:val="6"/>
          <w:szCs w:val="6"/>
        </w:rPr>
      </w:pPr>
    </w:p>
    <w:p w14:paraId="52C8C4F2" w14:textId="77777777" w:rsidR="003F194C" w:rsidRDefault="003F194C">
      <w:pPr>
        <w:rPr>
          <w:sz w:val="6"/>
          <w:szCs w:val="6"/>
        </w:rPr>
      </w:pPr>
    </w:p>
    <w:p w14:paraId="7B3855F2" w14:textId="77777777" w:rsidR="003F194C" w:rsidRDefault="003F194C">
      <w:pPr>
        <w:rPr>
          <w:sz w:val="6"/>
          <w:szCs w:val="6"/>
        </w:rPr>
      </w:pPr>
    </w:p>
    <w:p w14:paraId="3B46238B" w14:textId="77777777" w:rsidR="003F194C" w:rsidRDefault="003F194C">
      <w:pPr>
        <w:rPr>
          <w:sz w:val="6"/>
          <w:szCs w:val="6"/>
        </w:rPr>
      </w:pPr>
    </w:p>
    <w:p w14:paraId="0CCE6470" w14:textId="77777777" w:rsidR="003F194C" w:rsidRDefault="003F194C">
      <w:pPr>
        <w:rPr>
          <w:sz w:val="6"/>
          <w:szCs w:val="6"/>
        </w:rPr>
      </w:pPr>
    </w:p>
    <w:p w14:paraId="64EFE777" w14:textId="77777777" w:rsidR="003F194C" w:rsidRDefault="003F194C">
      <w:pPr>
        <w:rPr>
          <w:sz w:val="6"/>
          <w:szCs w:val="6"/>
        </w:rPr>
      </w:pPr>
    </w:p>
    <w:tbl>
      <w:tblPr>
        <w:tblStyle w:val="a5"/>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3720"/>
        <w:gridCol w:w="1140"/>
      </w:tblGrid>
      <w:tr w:rsidR="003F194C" w14:paraId="3BAEA3D9" w14:textId="77777777">
        <w:trPr>
          <w:trHeight w:val="291"/>
        </w:trPr>
        <w:tc>
          <w:tcPr>
            <w:tcW w:w="10802" w:type="dxa"/>
            <w:gridSpan w:val="3"/>
          </w:tcPr>
          <w:p w14:paraId="628FA4B5" w14:textId="77777777" w:rsidR="003F194C" w:rsidRDefault="00000000">
            <w:pPr>
              <w:spacing w:before="120" w:after="120"/>
              <w:jc w:val="center"/>
              <w:rPr>
                <w:b/>
                <w:sz w:val="22"/>
                <w:szCs w:val="22"/>
                <w:u w:val="single"/>
              </w:rPr>
            </w:pPr>
            <w:r>
              <w:rPr>
                <w:b/>
                <w:sz w:val="22"/>
                <w:szCs w:val="22"/>
              </w:rPr>
              <w:t>Course Assessment Tasks</w:t>
            </w:r>
          </w:p>
        </w:tc>
      </w:tr>
      <w:tr w:rsidR="003F194C" w14:paraId="0467EC63" w14:textId="77777777">
        <w:trPr>
          <w:trHeight w:val="237"/>
        </w:trPr>
        <w:tc>
          <w:tcPr>
            <w:tcW w:w="5942" w:type="dxa"/>
            <w:vAlign w:val="center"/>
          </w:tcPr>
          <w:p w14:paraId="35D08B7B" w14:textId="77777777" w:rsidR="003F194C" w:rsidRDefault="00000000">
            <w:pPr>
              <w:jc w:val="center"/>
              <w:rPr>
                <w:b/>
                <w:sz w:val="22"/>
                <w:szCs w:val="22"/>
              </w:rPr>
            </w:pPr>
            <w:r>
              <w:rPr>
                <w:b/>
                <w:i/>
                <w:sz w:val="22"/>
                <w:szCs w:val="22"/>
              </w:rPr>
              <w:t>Big Ideas</w:t>
            </w:r>
          </w:p>
        </w:tc>
        <w:tc>
          <w:tcPr>
            <w:tcW w:w="3720" w:type="dxa"/>
            <w:vAlign w:val="center"/>
          </w:tcPr>
          <w:p w14:paraId="1C83CABF" w14:textId="77777777" w:rsidR="003F194C" w:rsidRDefault="00000000">
            <w:pPr>
              <w:jc w:val="center"/>
              <w:rPr>
                <w:b/>
                <w:sz w:val="22"/>
                <w:szCs w:val="22"/>
              </w:rPr>
            </w:pPr>
            <w:r>
              <w:rPr>
                <w:b/>
                <w:i/>
                <w:sz w:val="22"/>
                <w:szCs w:val="22"/>
              </w:rPr>
              <w:t>Major Assignment(s) / Evaluation(s)</w:t>
            </w:r>
          </w:p>
        </w:tc>
        <w:tc>
          <w:tcPr>
            <w:tcW w:w="1140" w:type="dxa"/>
            <w:vAlign w:val="center"/>
          </w:tcPr>
          <w:p w14:paraId="0705CBCB" w14:textId="77777777" w:rsidR="003F194C" w:rsidRDefault="00000000">
            <w:pPr>
              <w:jc w:val="center"/>
              <w:rPr>
                <w:b/>
                <w:sz w:val="22"/>
                <w:szCs w:val="22"/>
              </w:rPr>
            </w:pPr>
            <w:r>
              <w:rPr>
                <w:b/>
                <w:i/>
                <w:sz w:val="22"/>
                <w:szCs w:val="22"/>
              </w:rPr>
              <w:t>Estimated Duration</w:t>
            </w:r>
          </w:p>
        </w:tc>
      </w:tr>
      <w:tr w:rsidR="003F194C" w14:paraId="0FF73A47" w14:textId="77777777">
        <w:trPr>
          <w:trHeight w:val="1545"/>
        </w:trPr>
        <w:tc>
          <w:tcPr>
            <w:tcW w:w="5942" w:type="dxa"/>
          </w:tcPr>
          <w:p w14:paraId="56235109" w14:textId="5E702FDD" w:rsidR="003F194C" w:rsidRDefault="00401DAE">
            <w:pPr>
              <w:shd w:val="clear" w:color="auto" w:fill="FFFFFF"/>
              <w:ind w:left="720"/>
              <w:rPr>
                <w:b/>
                <w:color w:val="58585B"/>
                <w:sz w:val="20"/>
                <w:szCs w:val="20"/>
                <w:highlight w:val="white"/>
              </w:rPr>
            </w:pPr>
            <w:r>
              <w:rPr>
                <w:b/>
                <w:color w:val="58585B"/>
                <w:sz w:val="20"/>
                <w:szCs w:val="20"/>
                <w:highlight w:val="white"/>
              </w:rPr>
              <w:t xml:space="preserve">Course Content: (Topics may not be presented in order shown.) </w:t>
            </w:r>
          </w:p>
          <w:p w14:paraId="5BFFD545" w14:textId="77777777" w:rsidR="00401DAE" w:rsidRDefault="00401DAE">
            <w:pPr>
              <w:shd w:val="clear" w:color="auto" w:fill="FFFFFF"/>
              <w:ind w:left="720"/>
              <w:rPr>
                <w:b/>
                <w:color w:val="58585B"/>
                <w:sz w:val="20"/>
                <w:szCs w:val="20"/>
                <w:highlight w:val="white"/>
              </w:rPr>
            </w:pPr>
          </w:p>
          <w:p w14:paraId="004E9D64" w14:textId="77777777" w:rsidR="005D2C47" w:rsidRDefault="00000000">
            <w:pPr>
              <w:shd w:val="clear" w:color="auto" w:fill="FFFFFF"/>
              <w:ind w:left="720"/>
              <w:rPr>
                <w:b/>
                <w:bCs/>
                <w:color w:val="58585B"/>
                <w:sz w:val="20"/>
                <w:szCs w:val="20"/>
                <w:highlight w:val="white"/>
              </w:rPr>
            </w:pPr>
            <w:r>
              <w:rPr>
                <w:b/>
                <w:color w:val="58585B"/>
                <w:sz w:val="20"/>
                <w:szCs w:val="20"/>
                <w:highlight w:val="white"/>
              </w:rPr>
              <w:t>-</w:t>
            </w:r>
            <w:r w:rsidR="005D2C47" w:rsidRPr="005D2C47">
              <w:rPr>
                <w:b/>
                <w:bCs/>
                <w:color w:val="58585B"/>
                <w:sz w:val="20"/>
                <w:szCs w:val="20"/>
                <w:highlight w:val="white"/>
              </w:rPr>
              <w:t> Health Safety and Ethics</w:t>
            </w:r>
          </w:p>
          <w:p w14:paraId="571815D1" w14:textId="53726B22" w:rsidR="005D2C47" w:rsidRDefault="005D2C47">
            <w:pPr>
              <w:shd w:val="clear" w:color="auto" w:fill="FFFFFF"/>
              <w:ind w:left="720"/>
              <w:rPr>
                <w:b/>
                <w:bCs/>
                <w:color w:val="58585B"/>
                <w:sz w:val="20"/>
                <w:szCs w:val="20"/>
                <w:highlight w:val="white"/>
              </w:rPr>
            </w:pPr>
            <w:r>
              <w:rPr>
                <w:b/>
                <w:bCs/>
                <w:color w:val="58585B"/>
                <w:sz w:val="20"/>
                <w:szCs w:val="20"/>
                <w:highlight w:val="white"/>
              </w:rPr>
              <w:t xml:space="preserve">- </w:t>
            </w:r>
            <w:r w:rsidRPr="005D2C47">
              <w:rPr>
                <w:b/>
                <w:bCs/>
                <w:color w:val="58585B"/>
                <w:sz w:val="20"/>
                <w:szCs w:val="20"/>
                <w:highlight w:val="white"/>
              </w:rPr>
              <w:t>Computer Hardware</w:t>
            </w:r>
            <w:r w:rsidR="00BF79F3">
              <w:rPr>
                <w:b/>
                <w:bCs/>
                <w:color w:val="58585B"/>
                <w:sz w:val="20"/>
                <w:szCs w:val="20"/>
                <w:highlight w:val="white"/>
              </w:rPr>
              <w:t xml:space="preserve"> (Review of G11), Laptops and Mobile Devices</w:t>
            </w:r>
          </w:p>
          <w:p w14:paraId="2FF3F118" w14:textId="7D97E7A5" w:rsidR="003F194C" w:rsidRDefault="00000000">
            <w:pPr>
              <w:shd w:val="clear" w:color="auto" w:fill="FFFFFF"/>
              <w:ind w:left="720"/>
              <w:rPr>
                <w:b/>
                <w:color w:val="58585B"/>
                <w:sz w:val="20"/>
                <w:szCs w:val="20"/>
                <w:highlight w:val="white"/>
              </w:rPr>
            </w:pPr>
            <w:r>
              <w:rPr>
                <w:b/>
                <w:color w:val="58585B"/>
                <w:sz w:val="20"/>
                <w:szCs w:val="20"/>
                <w:highlight w:val="white"/>
              </w:rPr>
              <w:t>-</w:t>
            </w:r>
            <w:r w:rsidR="005D2C47">
              <w:rPr>
                <w:b/>
                <w:color w:val="58585B"/>
                <w:sz w:val="20"/>
                <w:szCs w:val="20"/>
                <w:highlight w:val="white"/>
              </w:rPr>
              <w:t xml:space="preserve"> </w:t>
            </w:r>
            <w:r w:rsidR="00D22DE9">
              <w:rPr>
                <w:b/>
                <w:color w:val="58585B"/>
                <w:sz w:val="20"/>
                <w:szCs w:val="20"/>
                <w:highlight w:val="white"/>
              </w:rPr>
              <w:t>Windows Installation and Configuration</w:t>
            </w:r>
            <w:r w:rsidR="002520FC">
              <w:rPr>
                <w:b/>
                <w:bCs/>
                <w:color w:val="58585B"/>
                <w:sz w:val="20"/>
                <w:szCs w:val="20"/>
                <w:highlight w:val="white"/>
              </w:rPr>
              <w:t xml:space="preserve">(Review of G11), </w:t>
            </w:r>
            <w:r w:rsidR="002520FC" w:rsidRPr="002520FC">
              <w:rPr>
                <w:b/>
                <w:bCs/>
                <w:color w:val="58585B"/>
                <w:sz w:val="20"/>
                <w:szCs w:val="20"/>
              </w:rPr>
              <w:t>Mobile, Linux and OSX Operating Systems</w:t>
            </w:r>
          </w:p>
          <w:p w14:paraId="0CECB232" w14:textId="56BA14DA" w:rsidR="005D2C47" w:rsidRDefault="005D2C47">
            <w:pPr>
              <w:shd w:val="clear" w:color="auto" w:fill="FFFFFF"/>
              <w:ind w:left="720"/>
              <w:rPr>
                <w:b/>
                <w:bCs/>
                <w:color w:val="58585B"/>
                <w:sz w:val="20"/>
                <w:szCs w:val="20"/>
                <w:highlight w:val="white"/>
              </w:rPr>
            </w:pPr>
            <w:r>
              <w:rPr>
                <w:b/>
                <w:bCs/>
                <w:color w:val="58585B"/>
                <w:sz w:val="20"/>
                <w:szCs w:val="20"/>
                <w:highlight w:val="white"/>
              </w:rPr>
              <w:t xml:space="preserve">- </w:t>
            </w:r>
            <w:r w:rsidRPr="005D2C47">
              <w:rPr>
                <w:b/>
                <w:bCs/>
                <w:color w:val="58585B"/>
                <w:sz w:val="20"/>
                <w:szCs w:val="20"/>
                <w:highlight w:val="white"/>
              </w:rPr>
              <w:t>Number Systems</w:t>
            </w:r>
            <w:r w:rsidR="00BC727E">
              <w:rPr>
                <w:b/>
                <w:bCs/>
                <w:color w:val="58585B"/>
                <w:sz w:val="20"/>
                <w:szCs w:val="20"/>
                <w:highlight w:val="white"/>
              </w:rPr>
              <w:t xml:space="preserve"> (Binary/Octal/</w:t>
            </w:r>
            <w:r w:rsidR="00BC727E" w:rsidRPr="00BC727E">
              <w:rPr>
                <w:b/>
                <w:bCs/>
                <w:color w:val="58585B"/>
                <w:sz w:val="20"/>
                <w:szCs w:val="20"/>
                <w:highlight w:val="white"/>
              </w:rPr>
              <w:t>Hexadecimal </w:t>
            </w:r>
            <w:r w:rsidR="00BC727E">
              <w:rPr>
                <w:b/>
                <w:bCs/>
                <w:color w:val="58585B"/>
                <w:sz w:val="20"/>
                <w:szCs w:val="20"/>
                <w:highlight w:val="white"/>
              </w:rPr>
              <w:t>)</w:t>
            </w:r>
          </w:p>
          <w:p w14:paraId="351F0193" w14:textId="24D659A4" w:rsidR="005D2C47" w:rsidRDefault="005D2C47">
            <w:pPr>
              <w:shd w:val="clear" w:color="auto" w:fill="FFFFFF"/>
              <w:ind w:left="720"/>
              <w:rPr>
                <w:b/>
                <w:color w:val="58585B"/>
                <w:sz w:val="20"/>
                <w:szCs w:val="20"/>
                <w:highlight w:val="white"/>
              </w:rPr>
            </w:pPr>
            <w:r>
              <w:rPr>
                <w:b/>
                <w:bCs/>
                <w:color w:val="58585B"/>
                <w:sz w:val="20"/>
                <w:szCs w:val="20"/>
                <w:highlight w:val="white"/>
              </w:rPr>
              <w:t xml:space="preserve">- </w:t>
            </w:r>
            <w:r w:rsidRPr="005D2C47">
              <w:rPr>
                <w:b/>
                <w:bCs/>
                <w:color w:val="58585B"/>
                <w:sz w:val="20"/>
                <w:szCs w:val="20"/>
                <w:highlight w:val="white"/>
              </w:rPr>
              <w:t>Digital Logic</w:t>
            </w:r>
          </w:p>
          <w:p w14:paraId="3C74E901" w14:textId="4154C5C0" w:rsidR="003F194C" w:rsidRDefault="00000000">
            <w:pPr>
              <w:shd w:val="clear" w:color="auto" w:fill="FFFFFF"/>
              <w:ind w:left="720"/>
              <w:rPr>
                <w:b/>
                <w:color w:val="58585B"/>
                <w:sz w:val="20"/>
                <w:szCs w:val="20"/>
                <w:highlight w:val="white"/>
              </w:rPr>
            </w:pPr>
            <w:r>
              <w:rPr>
                <w:b/>
                <w:color w:val="58585B"/>
                <w:sz w:val="20"/>
                <w:szCs w:val="20"/>
                <w:highlight w:val="white"/>
              </w:rPr>
              <w:t>-</w:t>
            </w:r>
            <w:r w:rsidR="005D2C47">
              <w:rPr>
                <w:b/>
                <w:color w:val="58585B"/>
                <w:sz w:val="20"/>
                <w:szCs w:val="20"/>
                <w:highlight w:val="white"/>
              </w:rPr>
              <w:t xml:space="preserve"> </w:t>
            </w:r>
            <w:r w:rsidR="00BC727E">
              <w:rPr>
                <w:b/>
                <w:color w:val="58585B"/>
                <w:sz w:val="20"/>
                <w:szCs w:val="20"/>
                <w:highlight w:val="white"/>
              </w:rPr>
              <w:t xml:space="preserve">Advanced </w:t>
            </w:r>
            <w:r w:rsidR="00D22DE9">
              <w:rPr>
                <w:b/>
                <w:color w:val="58585B"/>
                <w:sz w:val="20"/>
                <w:szCs w:val="20"/>
                <w:highlight w:val="white"/>
              </w:rPr>
              <w:t>Networking</w:t>
            </w:r>
          </w:p>
          <w:p w14:paraId="6C1BA98C" w14:textId="32637348" w:rsidR="003F194C" w:rsidRDefault="00000000">
            <w:pPr>
              <w:shd w:val="clear" w:color="auto" w:fill="FFFFFF"/>
              <w:ind w:left="720"/>
              <w:rPr>
                <w:b/>
                <w:color w:val="58585B"/>
                <w:sz w:val="20"/>
                <w:szCs w:val="20"/>
                <w:highlight w:val="white"/>
              </w:rPr>
            </w:pPr>
            <w:r>
              <w:rPr>
                <w:b/>
                <w:color w:val="58585B"/>
                <w:sz w:val="20"/>
                <w:szCs w:val="20"/>
                <w:highlight w:val="white"/>
              </w:rPr>
              <w:t>-</w:t>
            </w:r>
            <w:r w:rsidR="005D2C47">
              <w:rPr>
                <w:b/>
                <w:color w:val="58585B"/>
                <w:sz w:val="20"/>
                <w:szCs w:val="20"/>
                <w:highlight w:val="white"/>
              </w:rPr>
              <w:t xml:space="preserve"> </w:t>
            </w:r>
            <w:r w:rsidR="00BC727E">
              <w:rPr>
                <w:b/>
                <w:color w:val="58585B"/>
                <w:sz w:val="20"/>
                <w:szCs w:val="20"/>
                <w:highlight w:val="white"/>
              </w:rPr>
              <w:t>Software Engineering Application (SDLC – Business requirement, Development, Testing)</w:t>
            </w:r>
          </w:p>
          <w:p w14:paraId="7F326804" w14:textId="3AD00ACF" w:rsidR="005D2C47" w:rsidRDefault="005D2C47">
            <w:pPr>
              <w:shd w:val="clear" w:color="auto" w:fill="FFFFFF"/>
              <w:ind w:left="720"/>
              <w:rPr>
                <w:b/>
                <w:color w:val="58585B"/>
                <w:sz w:val="20"/>
                <w:szCs w:val="20"/>
                <w:highlight w:val="white"/>
              </w:rPr>
            </w:pPr>
            <w:r>
              <w:rPr>
                <w:b/>
                <w:bCs/>
                <w:color w:val="58585B"/>
                <w:sz w:val="20"/>
                <w:szCs w:val="20"/>
                <w:highlight w:val="white"/>
              </w:rPr>
              <w:t xml:space="preserve">- </w:t>
            </w:r>
            <w:r w:rsidRPr="005D2C47">
              <w:rPr>
                <w:b/>
                <w:bCs/>
                <w:color w:val="58585B"/>
                <w:sz w:val="20"/>
                <w:szCs w:val="20"/>
                <w:highlight w:val="white"/>
              </w:rPr>
              <w:t>Careers</w:t>
            </w:r>
          </w:p>
          <w:p w14:paraId="2B212211" w14:textId="77777777" w:rsidR="003F194C" w:rsidRDefault="003F194C">
            <w:pPr>
              <w:rPr>
                <w:color w:val="211D1E"/>
                <w:sz w:val="20"/>
                <w:szCs w:val="20"/>
              </w:rPr>
            </w:pPr>
          </w:p>
        </w:tc>
        <w:tc>
          <w:tcPr>
            <w:tcW w:w="3720" w:type="dxa"/>
          </w:tcPr>
          <w:p w14:paraId="3124B90C" w14:textId="63F1E5FC" w:rsidR="003F194C" w:rsidRDefault="00000000">
            <w:pPr>
              <w:spacing w:line="276" w:lineRule="auto"/>
              <w:rPr>
                <w:b/>
                <w:color w:val="211D1E"/>
                <w:sz w:val="23"/>
                <w:szCs w:val="23"/>
              </w:rPr>
            </w:pPr>
            <w:r>
              <w:rPr>
                <w:b/>
                <w:color w:val="211D1E"/>
                <w:sz w:val="23"/>
                <w:szCs w:val="23"/>
              </w:rPr>
              <w:t xml:space="preserve">Hands-on </w:t>
            </w:r>
            <w:r w:rsidR="00650D66">
              <w:rPr>
                <w:b/>
                <w:color w:val="211D1E"/>
                <w:sz w:val="23"/>
                <w:szCs w:val="23"/>
              </w:rPr>
              <w:t>Activities</w:t>
            </w:r>
          </w:p>
          <w:p w14:paraId="6F5C3D7D" w14:textId="63284B19" w:rsidR="00650D66" w:rsidRDefault="00650D66">
            <w:pPr>
              <w:spacing w:line="276" w:lineRule="auto"/>
              <w:rPr>
                <w:b/>
                <w:color w:val="211D1E"/>
                <w:sz w:val="23"/>
                <w:szCs w:val="23"/>
              </w:rPr>
            </w:pPr>
            <w:r>
              <w:rPr>
                <w:b/>
                <w:color w:val="211D1E"/>
                <w:sz w:val="23"/>
                <w:szCs w:val="23"/>
              </w:rPr>
              <w:t>Class Discussion</w:t>
            </w:r>
          </w:p>
          <w:p w14:paraId="68DBD726" w14:textId="77777777" w:rsidR="003F194C" w:rsidRDefault="00000000">
            <w:pPr>
              <w:spacing w:line="276" w:lineRule="auto"/>
              <w:rPr>
                <w:b/>
                <w:color w:val="211D1E"/>
                <w:sz w:val="23"/>
                <w:szCs w:val="23"/>
              </w:rPr>
            </w:pPr>
            <w:r>
              <w:rPr>
                <w:b/>
                <w:color w:val="211D1E"/>
                <w:sz w:val="23"/>
                <w:szCs w:val="23"/>
              </w:rPr>
              <w:t>Assignments</w:t>
            </w:r>
          </w:p>
          <w:p w14:paraId="54D9CC2F" w14:textId="75842F4C" w:rsidR="003F194C" w:rsidRDefault="00357FD4">
            <w:pPr>
              <w:spacing w:line="276" w:lineRule="auto"/>
              <w:rPr>
                <w:b/>
                <w:color w:val="211D1E"/>
                <w:sz w:val="23"/>
                <w:szCs w:val="23"/>
              </w:rPr>
            </w:pPr>
            <w:r>
              <w:rPr>
                <w:b/>
                <w:color w:val="211D1E"/>
                <w:sz w:val="23"/>
                <w:szCs w:val="23"/>
              </w:rPr>
              <w:t>Presentations</w:t>
            </w:r>
          </w:p>
          <w:p w14:paraId="427AF8D2" w14:textId="070835DF" w:rsidR="003F194C" w:rsidRDefault="00357FD4">
            <w:pPr>
              <w:spacing w:line="276" w:lineRule="auto"/>
              <w:rPr>
                <w:b/>
                <w:color w:val="211D1E"/>
                <w:sz w:val="23"/>
                <w:szCs w:val="23"/>
              </w:rPr>
            </w:pPr>
            <w:r>
              <w:rPr>
                <w:b/>
                <w:color w:val="211D1E"/>
                <w:sz w:val="23"/>
                <w:szCs w:val="23"/>
              </w:rPr>
              <w:t>Quizzes</w:t>
            </w:r>
          </w:p>
          <w:p w14:paraId="421D4141" w14:textId="346CFAD3" w:rsidR="00357FD4" w:rsidRDefault="00357FD4">
            <w:pPr>
              <w:spacing w:line="276" w:lineRule="auto"/>
              <w:rPr>
                <w:b/>
                <w:color w:val="211D1E"/>
                <w:sz w:val="23"/>
                <w:szCs w:val="23"/>
              </w:rPr>
            </w:pPr>
            <w:r w:rsidRPr="00357FD4">
              <w:rPr>
                <w:b/>
                <w:color w:val="211D1E"/>
                <w:sz w:val="23"/>
                <w:szCs w:val="23"/>
              </w:rPr>
              <w:t>Independent Research</w:t>
            </w:r>
          </w:p>
          <w:p w14:paraId="02A870A7" w14:textId="6CF79F16" w:rsidR="003F194C" w:rsidRDefault="00357FD4">
            <w:pPr>
              <w:spacing w:line="276" w:lineRule="auto"/>
              <w:rPr>
                <w:b/>
                <w:color w:val="211D1E"/>
                <w:sz w:val="23"/>
                <w:szCs w:val="23"/>
              </w:rPr>
            </w:pPr>
            <w:r>
              <w:rPr>
                <w:b/>
                <w:color w:val="211D1E"/>
                <w:sz w:val="23"/>
                <w:szCs w:val="23"/>
              </w:rPr>
              <w:t>Tests</w:t>
            </w:r>
          </w:p>
        </w:tc>
        <w:tc>
          <w:tcPr>
            <w:tcW w:w="1140" w:type="dxa"/>
          </w:tcPr>
          <w:p w14:paraId="12F65A69" w14:textId="77777777" w:rsidR="003F194C" w:rsidRDefault="00000000">
            <w:pPr>
              <w:jc w:val="center"/>
              <w:rPr>
                <w:b/>
                <w:sz w:val="22"/>
                <w:szCs w:val="22"/>
              </w:rPr>
            </w:pPr>
            <w:r>
              <w:rPr>
                <w:b/>
                <w:sz w:val="22"/>
                <w:szCs w:val="22"/>
              </w:rPr>
              <w:t>Approx. 100 Hours</w:t>
            </w:r>
          </w:p>
        </w:tc>
      </w:tr>
    </w:tbl>
    <w:p w14:paraId="1A836EE4" w14:textId="77777777" w:rsidR="003F194C" w:rsidRDefault="003F194C">
      <w:pPr>
        <w:rPr>
          <w:sz w:val="10"/>
          <w:szCs w:val="10"/>
        </w:rPr>
      </w:pPr>
    </w:p>
    <w:p w14:paraId="39F385D2" w14:textId="77777777" w:rsidR="00EB7C6E" w:rsidRPr="00EB7C6E" w:rsidRDefault="00EB7C6E" w:rsidP="00EB7C6E">
      <w:pPr>
        <w:rPr>
          <w:b/>
          <w:bCs/>
        </w:rPr>
      </w:pPr>
      <w:r w:rsidRPr="00EB7C6E">
        <w:t>Equity Statement</w:t>
      </w:r>
    </w:p>
    <w:p w14:paraId="4E6189A7" w14:textId="77777777" w:rsidR="00EB7C6E" w:rsidRPr="00EB7C6E" w:rsidRDefault="00EB7C6E" w:rsidP="00EB7C6E">
      <w:pPr>
        <w:rPr>
          <w:sz w:val="20"/>
          <w:szCs w:val="20"/>
        </w:rPr>
      </w:pPr>
    </w:p>
    <w:p w14:paraId="0EEABDA3" w14:textId="77777777" w:rsidR="00EB7C6E" w:rsidRDefault="00EB7C6E" w:rsidP="00EB7C6E">
      <w:pPr>
        <w:rPr>
          <w:sz w:val="20"/>
          <w:szCs w:val="20"/>
        </w:rPr>
      </w:pPr>
      <w:r w:rsidRPr="00EB7C6E">
        <w:rPr>
          <w:sz w:val="20"/>
          <w:szCs w:val="20"/>
        </w:rPr>
        <w:t>All courses within TDSB are taught in learning environments that promote inclusive education, and identify and eliminate discriminatory biases, systemic barriers, and power dynamics that limit the ability of students to participate, learn, grow, and succeed. All students see themselves reflected in the curriculum, their physical surroundings, and the broader environment, so that they are engaged in and empowered by their learning experiences.</w:t>
      </w:r>
    </w:p>
    <w:p w14:paraId="0EFA7AC9" w14:textId="77777777" w:rsidR="00EB7C6E" w:rsidRPr="00EB7C6E" w:rsidRDefault="00EB7C6E" w:rsidP="00EB7C6E">
      <w:pPr>
        <w:rPr>
          <w:sz w:val="20"/>
          <w:szCs w:val="20"/>
        </w:rPr>
      </w:pPr>
    </w:p>
    <w:p w14:paraId="5E79D441" w14:textId="77777777" w:rsidR="00EB7C6E" w:rsidRPr="00EB7C6E" w:rsidRDefault="00EB7C6E" w:rsidP="00EB7C6E">
      <w:pPr>
        <w:rPr>
          <w:b/>
          <w:bCs/>
        </w:rPr>
      </w:pPr>
      <w:r w:rsidRPr="00EB7C6E">
        <w:t>Communication of Student Achievement</w:t>
      </w:r>
    </w:p>
    <w:p w14:paraId="2E0BA0A7" w14:textId="1FD72E21" w:rsidR="00EB7C6E" w:rsidRDefault="00EB7C6E" w:rsidP="00EB7C6E">
      <w:pPr>
        <w:rPr>
          <w:sz w:val="20"/>
          <w:szCs w:val="20"/>
        </w:rPr>
      </w:pPr>
      <w:r w:rsidRPr="00EB7C6E">
        <w:rPr>
          <w:sz w:val="20"/>
          <w:szCs w:val="20"/>
        </w:rPr>
        <w:t>Student progress and achievement are communicated to the students on an ongoing basis, student-teacher conferences, verbal/written feedback, daily practices, formative assessments, and summative evaluations. See student agenda for detailed information on mid-term and final reporting of student achievement of curriculum expectations and learning skills.</w:t>
      </w:r>
      <w:r w:rsidRPr="00EB7C6E">
        <w:rPr>
          <w:sz w:val="20"/>
          <w:szCs w:val="20"/>
        </w:rPr>
        <w:br/>
        <w:t xml:space="preserve">Learning is the responsibility of the students. If students experience any kind of difficulty with their studies, access to remedial help is available from the teacher by arrangement. The teacher may contact parents/guardians regarding any concerns about student progress and achievement. </w:t>
      </w:r>
      <w:r w:rsidRPr="00EB7C6E">
        <w:rPr>
          <w:sz w:val="20"/>
          <w:szCs w:val="20"/>
        </w:rPr>
        <w:br/>
        <w:t xml:space="preserve">A parent/guardian may contact the teacher regarding any concern or issue about student progress and achievement via email at </w:t>
      </w:r>
      <w:hyperlink r:id="rId7" w:history="1">
        <w:r w:rsidRPr="00EB7C6E">
          <w:rPr>
            <w:rStyle w:val="Hyperlink"/>
            <w:sz w:val="20"/>
            <w:szCs w:val="20"/>
          </w:rPr>
          <w:t>xuan.feng@tdsb.on.ca</w:t>
        </w:r>
      </w:hyperlink>
      <w:r w:rsidRPr="00EB7C6E">
        <w:rPr>
          <w:sz w:val="20"/>
          <w:szCs w:val="20"/>
        </w:rPr>
        <w:t xml:space="preserve"> .</w:t>
      </w:r>
    </w:p>
    <w:p w14:paraId="5F91781C" w14:textId="77777777" w:rsidR="00EB7C6E" w:rsidRPr="00EB7C6E" w:rsidRDefault="00EB7C6E" w:rsidP="00EB7C6E">
      <w:pPr>
        <w:rPr>
          <w:sz w:val="20"/>
          <w:szCs w:val="20"/>
        </w:rPr>
      </w:pPr>
    </w:p>
    <w:p w14:paraId="0F1EE53D" w14:textId="77777777" w:rsidR="00EB7C6E" w:rsidRPr="00EB7C6E" w:rsidRDefault="00EB7C6E" w:rsidP="00EB7C6E">
      <w:pPr>
        <w:rPr>
          <w:b/>
          <w:bCs/>
        </w:rPr>
      </w:pPr>
      <w:r w:rsidRPr="00EB7C6E">
        <w:t>Accommodations for Exceptional and ESL / ELD Students</w:t>
      </w:r>
    </w:p>
    <w:p w14:paraId="2F4CFBF9" w14:textId="77777777" w:rsidR="00EB7C6E" w:rsidRPr="00EB7C6E" w:rsidRDefault="00EB7C6E" w:rsidP="00EB7C6E">
      <w:pPr>
        <w:rPr>
          <w:sz w:val="20"/>
          <w:szCs w:val="20"/>
        </w:rPr>
      </w:pPr>
      <w:r w:rsidRPr="00EB7C6E">
        <w:rPr>
          <w:sz w:val="20"/>
          <w:szCs w:val="20"/>
        </w:rPr>
        <w:t>Appropriate accommodations for exceptional and ESL/ELD students are provided by the teacher following recommendations as outlined in each identified student’s Individual Education Plan (IEP) and/or Annual Education Plan (AEP).</w:t>
      </w:r>
    </w:p>
    <w:p w14:paraId="71869662" w14:textId="77777777" w:rsidR="00EB7C6E" w:rsidRDefault="00EB7C6E">
      <w:pPr>
        <w:rPr>
          <w:sz w:val="10"/>
          <w:szCs w:val="10"/>
        </w:rPr>
      </w:pPr>
    </w:p>
    <w:sectPr w:rsidR="00EB7C6E">
      <w:pgSz w:w="12240" w:h="15840"/>
      <w:pgMar w:top="650" w:right="720" w:bottom="627"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4C"/>
    <w:rsid w:val="00221DD8"/>
    <w:rsid w:val="002520FC"/>
    <w:rsid w:val="002F0667"/>
    <w:rsid w:val="00357FD4"/>
    <w:rsid w:val="003F194C"/>
    <w:rsid w:val="00401DAE"/>
    <w:rsid w:val="004A605D"/>
    <w:rsid w:val="005D2C47"/>
    <w:rsid w:val="00650D66"/>
    <w:rsid w:val="00663835"/>
    <w:rsid w:val="006C1C21"/>
    <w:rsid w:val="00A25225"/>
    <w:rsid w:val="00A74AE2"/>
    <w:rsid w:val="00BC727E"/>
    <w:rsid w:val="00BF79F3"/>
    <w:rsid w:val="00C15F97"/>
    <w:rsid w:val="00D22DE9"/>
    <w:rsid w:val="00E04B05"/>
    <w:rsid w:val="00EB7C6E"/>
    <w:rsid w:val="00EC5765"/>
    <w:rsid w:val="00F43B79"/>
    <w:rsid w:val="00FC6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B005"/>
  <w15:docId w15:val="{8F105130-FA5F-4287-B0FA-5073FA51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NormalWeb">
    <w:name w:val="Normal (Web)"/>
    <w:basedOn w:val="Normal"/>
    <w:uiPriority w:val="99"/>
    <w:semiHidden/>
    <w:unhideWhenUsed/>
    <w:rsid w:val="004A605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B7C6E"/>
    <w:rPr>
      <w:color w:val="0000FF" w:themeColor="hyperlink"/>
      <w:u w:val="single"/>
    </w:rPr>
  </w:style>
  <w:style w:type="character" w:styleId="UnresolvedMention">
    <w:name w:val="Unresolved Mention"/>
    <w:basedOn w:val="DefaultParagraphFont"/>
    <w:uiPriority w:val="99"/>
    <w:semiHidden/>
    <w:unhideWhenUsed/>
    <w:rsid w:val="00EB7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766423">
      <w:bodyDiv w:val="1"/>
      <w:marLeft w:val="0"/>
      <w:marRight w:val="0"/>
      <w:marTop w:val="0"/>
      <w:marBottom w:val="0"/>
      <w:divBdr>
        <w:top w:val="none" w:sz="0" w:space="0" w:color="auto"/>
        <w:left w:val="none" w:sz="0" w:space="0" w:color="auto"/>
        <w:bottom w:val="none" w:sz="0" w:space="0" w:color="auto"/>
        <w:right w:val="none" w:sz="0" w:space="0" w:color="auto"/>
      </w:divBdr>
    </w:div>
    <w:div w:id="805003929">
      <w:bodyDiv w:val="1"/>
      <w:marLeft w:val="0"/>
      <w:marRight w:val="0"/>
      <w:marTop w:val="0"/>
      <w:marBottom w:val="0"/>
      <w:divBdr>
        <w:top w:val="none" w:sz="0" w:space="0" w:color="auto"/>
        <w:left w:val="none" w:sz="0" w:space="0" w:color="auto"/>
        <w:bottom w:val="none" w:sz="0" w:space="0" w:color="auto"/>
        <w:right w:val="none" w:sz="0" w:space="0" w:color="auto"/>
      </w:divBdr>
    </w:div>
    <w:div w:id="105435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uan.feng@tdsb.o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gov.on.ca/eng/policyfunding/growsuccess.pdf" TargetMode="External"/><Relationship Id="rId5" Type="http://schemas.openxmlformats.org/officeDocument/2006/relationships/hyperlink" Target="https://www.dcp.edu.gov.on.ca/en/assessment-evaluation/categories-of-knowledge-and-skill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Saleem, Mohammad</cp:lastModifiedBy>
  <cp:revision>7</cp:revision>
  <dcterms:created xsi:type="dcterms:W3CDTF">2024-08-27T19:20:00Z</dcterms:created>
  <dcterms:modified xsi:type="dcterms:W3CDTF">2024-08-28T11:41:00Z</dcterms:modified>
</cp:coreProperties>
</file>