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PSK4U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Introduction to Kinesiology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This course focuses on the study of human movement and of systems, factors, and principles involved in human development. Students will learn about the effects of physical activity on health and performance, the evolution of physical activity and sport, and the physiological, psychological, and social factors that influence an individual’s participation in physical activity and sport. The course prepares students for university programs in physical education and health, kinesiology, health sciences, health studies, recreation, and sports administration. </w:t>
            </w:r>
          </w:p>
          <w:p w:rsidR="00000000" w:rsidDel="00000000" w:rsidP="00000000" w:rsidRDefault="00000000" w:rsidRPr="00000000" w14:paraId="00000017">
            <w:pPr>
              <w:widowControl w:val="0"/>
              <w:rPr/>
            </w:pPr>
            <w:r w:rsidDel="00000000" w:rsidR="00000000" w:rsidRPr="00000000">
              <w:rPr>
                <w:b w:val="1"/>
                <w:sz w:val="20"/>
                <w:szCs w:val="20"/>
                <w:rtl w:val="0"/>
              </w:rPr>
              <w:t xml:space="preserve">Prerequisite:</w:t>
            </w:r>
            <w:r w:rsidDel="00000000" w:rsidR="00000000" w:rsidRPr="00000000">
              <w:rPr>
                <w:sz w:val="20"/>
                <w:szCs w:val="20"/>
                <w:rtl w:val="0"/>
              </w:rPr>
              <w:t xml:space="preserve"> Any Grade 11 university or university/college preparation course in science, or any Grade 11 or 12 course in health and physical education</w:t>
            </w: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Anatomy &amp; Physiology</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Anatomical terminology</w:t>
            </w:r>
          </w:p>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Human movements</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Skeletal and articular systems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Muscular system</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Disease</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Quizzes</w:t>
            </w:r>
          </w:p>
          <w:p w:rsidR="00000000" w:rsidDel="00000000" w:rsidP="00000000" w:rsidRDefault="00000000" w:rsidRPr="00000000" w14:paraId="0000006D">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6E">
            <w:pPr>
              <w:rPr>
                <w:b w:val="1"/>
                <w:sz w:val="22"/>
                <w:szCs w:val="22"/>
              </w:rPr>
            </w:pPr>
            <w:r w:rsidDel="00000000" w:rsidR="00000000" w:rsidRPr="00000000">
              <w:rPr>
                <w:b w:val="1"/>
                <w:sz w:val="22"/>
                <w:szCs w:val="22"/>
                <w:rtl w:val="0"/>
              </w:rPr>
              <w:t xml:space="preserve">Presentation</w:t>
            </w:r>
          </w:p>
        </w:tc>
        <w:tc>
          <w:tcPr/>
          <w:p w:rsidR="00000000" w:rsidDel="00000000" w:rsidP="00000000" w:rsidRDefault="00000000" w:rsidRPr="00000000" w14:paraId="0000006F">
            <w:pPr>
              <w:jc w:val="center"/>
              <w:rPr>
                <w:b w:val="1"/>
                <w:sz w:val="22"/>
                <w:szCs w:val="22"/>
              </w:rPr>
            </w:pPr>
            <w:r w:rsidDel="00000000" w:rsidR="00000000" w:rsidRPr="00000000">
              <w:rPr>
                <w:rtl w:val="0"/>
              </w:rPr>
            </w:r>
          </w:p>
          <w:p w:rsidR="00000000" w:rsidDel="00000000" w:rsidP="00000000" w:rsidRDefault="00000000" w:rsidRPr="00000000" w14:paraId="00000070">
            <w:pPr>
              <w:jc w:val="center"/>
              <w:rPr>
                <w:b w:val="1"/>
                <w:sz w:val="22"/>
                <w:szCs w:val="22"/>
              </w:rPr>
            </w:pPr>
            <w:r w:rsidDel="00000000" w:rsidR="00000000" w:rsidRPr="00000000">
              <w:rPr>
                <w:b w:val="1"/>
                <w:sz w:val="22"/>
                <w:szCs w:val="22"/>
                <w:rtl w:val="0"/>
              </w:rPr>
              <w:t xml:space="preserve">20 days</w:t>
            </w:r>
          </w:p>
        </w:tc>
      </w:tr>
      <w:tr>
        <w:trPr>
          <w:cantSplit w:val="0"/>
          <w:trHeight w:val="233" w:hRule="atLeast"/>
          <w:tblHeader w:val="0"/>
        </w:trPr>
        <w:tc>
          <w:tcPr/>
          <w:p w:rsidR="00000000" w:rsidDel="00000000" w:rsidP="00000000" w:rsidRDefault="00000000" w:rsidRPr="00000000" w14:paraId="00000071">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2">
            <w:pPr>
              <w:rPr>
                <w:b w:val="1"/>
                <w:sz w:val="22"/>
                <w:szCs w:val="22"/>
              </w:rPr>
            </w:pPr>
            <w:r w:rsidDel="00000000" w:rsidR="00000000" w:rsidRPr="00000000">
              <w:rPr>
                <w:sz w:val="22"/>
                <w:szCs w:val="22"/>
                <w:rtl w:val="0"/>
              </w:rPr>
              <w:t xml:space="preserve">Cardiovascular and Respiratory Systems</w:t>
            </w:r>
            <w:r w:rsidDel="00000000" w:rsidR="00000000" w:rsidRPr="00000000">
              <w:rPr>
                <w:rtl w:val="0"/>
              </w:rPr>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Circulatory system</w:t>
            </w:r>
          </w:p>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Respiratory system</w:t>
            </w:r>
          </w:p>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Blood, heart rate, respiratory dynamics</w:t>
            </w:r>
          </w:p>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Disease</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Quizzes</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Lab Activities</w:t>
            </w:r>
          </w:p>
        </w:tc>
        <w:tc>
          <w:tcPr/>
          <w:p w:rsidR="00000000" w:rsidDel="00000000" w:rsidP="00000000" w:rsidRDefault="00000000" w:rsidRPr="00000000" w14:paraId="0000007A">
            <w:pPr>
              <w:jc w:val="center"/>
              <w:rPr>
                <w:b w:val="1"/>
                <w:sz w:val="22"/>
                <w:szCs w:val="22"/>
              </w:rPr>
            </w:pPr>
            <w:r w:rsidDel="00000000" w:rsidR="00000000" w:rsidRPr="00000000">
              <w:rPr>
                <w:rtl w:val="0"/>
              </w:rPr>
            </w:r>
          </w:p>
          <w:p w:rsidR="00000000" w:rsidDel="00000000" w:rsidP="00000000" w:rsidRDefault="00000000" w:rsidRPr="00000000" w14:paraId="0000007B">
            <w:pPr>
              <w:jc w:val="center"/>
              <w:rPr>
                <w:b w:val="1"/>
                <w:sz w:val="22"/>
                <w:szCs w:val="22"/>
              </w:rPr>
            </w:pPr>
            <w:r w:rsidDel="00000000" w:rsidR="00000000" w:rsidRPr="00000000">
              <w:rPr>
                <w:b w:val="1"/>
                <w:sz w:val="22"/>
                <w:szCs w:val="22"/>
                <w:rtl w:val="0"/>
              </w:rPr>
              <w:t xml:space="preserve">15 days</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D">
            <w:pPr>
              <w:rPr>
                <w:sz w:val="22"/>
                <w:szCs w:val="22"/>
              </w:rPr>
            </w:pPr>
            <w:r w:rsidDel="00000000" w:rsidR="00000000" w:rsidRPr="00000000">
              <w:rPr>
                <w:sz w:val="22"/>
                <w:szCs w:val="22"/>
                <w:rtl w:val="0"/>
              </w:rPr>
              <w:t xml:space="preserve">Nutrition, Training, Ergogenic Aids</w:t>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Macro and micronutrients</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Food consumption and healthy choices</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Ethics of food production and climate</w:t>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Ethics of sport and nutritional aids</w:t>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Essay</w:t>
            </w:r>
          </w:p>
        </w:tc>
        <w:tc>
          <w:tcPr/>
          <w:p w:rsidR="00000000" w:rsidDel="00000000" w:rsidP="00000000" w:rsidRDefault="00000000" w:rsidRPr="00000000" w14:paraId="00000085">
            <w:pPr>
              <w:jc w:val="center"/>
              <w:rPr>
                <w:b w:val="1"/>
                <w:sz w:val="22"/>
                <w:szCs w:val="22"/>
              </w:rPr>
            </w:pPr>
            <w:r w:rsidDel="00000000" w:rsidR="00000000" w:rsidRPr="00000000">
              <w:rPr>
                <w:rtl w:val="0"/>
              </w:rPr>
            </w:r>
          </w:p>
          <w:p w:rsidR="00000000" w:rsidDel="00000000" w:rsidP="00000000" w:rsidRDefault="00000000" w:rsidRPr="00000000" w14:paraId="00000086">
            <w:pPr>
              <w:jc w:val="center"/>
              <w:rPr>
                <w:b w:val="1"/>
                <w:sz w:val="22"/>
                <w:szCs w:val="22"/>
              </w:rPr>
            </w:pPr>
            <w:r w:rsidDel="00000000" w:rsidR="00000000" w:rsidRPr="00000000">
              <w:rPr>
                <w:b w:val="1"/>
                <w:sz w:val="22"/>
                <w:szCs w:val="22"/>
                <w:rtl w:val="0"/>
              </w:rPr>
              <w:t xml:space="preserve">15 days</w:t>
            </w:r>
          </w:p>
        </w:tc>
      </w:tr>
      <w:tr>
        <w:trPr>
          <w:cantSplit w:val="0"/>
          <w:trHeight w:val="233" w:hRule="atLeast"/>
          <w:tblHeader w:val="0"/>
        </w:trPr>
        <w:tc>
          <w:tcPr/>
          <w:p w:rsidR="00000000" w:rsidDel="00000000" w:rsidP="00000000" w:rsidRDefault="00000000" w:rsidRPr="00000000" w14:paraId="00000087">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8">
            <w:pPr>
              <w:rPr>
                <w:sz w:val="22"/>
                <w:szCs w:val="22"/>
              </w:rPr>
            </w:pPr>
            <w:r w:rsidDel="00000000" w:rsidR="00000000" w:rsidRPr="00000000">
              <w:rPr>
                <w:sz w:val="22"/>
                <w:szCs w:val="22"/>
                <w:rtl w:val="0"/>
              </w:rPr>
              <w:t xml:space="preserve">Energy Systems</w:t>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Energy systems and metabolic pathways</w:t>
            </w:r>
          </w:p>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Nutrients as energy sources</w:t>
            </w:r>
          </w:p>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Muscle fiber types and athletic training</w:t>
            </w:r>
          </w:p>
        </w:tc>
        <w:tc>
          <w:tcPr/>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Quizzes</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Lab Activities</w:t>
            </w:r>
          </w:p>
        </w:tc>
        <w:tc>
          <w:tcPr/>
          <w:p w:rsidR="00000000" w:rsidDel="00000000" w:rsidP="00000000" w:rsidRDefault="00000000" w:rsidRPr="00000000" w14:paraId="00000090">
            <w:pPr>
              <w:jc w:val="center"/>
              <w:rPr>
                <w:b w:val="1"/>
                <w:sz w:val="22"/>
                <w:szCs w:val="22"/>
              </w:rPr>
            </w:pPr>
            <w:r w:rsidDel="00000000" w:rsidR="00000000" w:rsidRPr="00000000">
              <w:rPr>
                <w:rtl w:val="0"/>
              </w:rPr>
            </w:r>
          </w:p>
          <w:p w:rsidR="00000000" w:rsidDel="00000000" w:rsidP="00000000" w:rsidRDefault="00000000" w:rsidRPr="00000000" w14:paraId="00000091">
            <w:pPr>
              <w:jc w:val="center"/>
              <w:rPr>
                <w:b w:val="1"/>
                <w:sz w:val="22"/>
                <w:szCs w:val="22"/>
              </w:rPr>
            </w:pPr>
            <w:r w:rsidDel="00000000" w:rsidR="00000000" w:rsidRPr="00000000">
              <w:rPr>
                <w:b w:val="1"/>
                <w:sz w:val="22"/>
                <w:szCs w:val="22"/>
                <w:rtl w:val="0"/>
              </w:rPr>
              <w:t xml:space="preserve">10 days</w:t>
            </w:r>
          </w:p>
        </w:tc>
      </w:tr>
      <w:tr>
        <w:trPr>
          <w:cantSplit w:val="0"/>
          <w:trHeight w:val="233" w:hRule="atLeast"/>
          <w:tblHeader w:val="0"/>
        </w:trPr>
        <w:tc>
          <w:tcPr/>
          <w:p w:rsidR="00000000" w:rsidDel="00000000" w:rsidP="00000000" w:rsidRDefault="00000000" w:rsidRPr="00000000" w14:paraId="00000092">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93">
            <w:pPr>
              <w:rPr>
                <w:sz w:val="22"/>
                <w:szCs w:val="22"/>
              </w:rPr>
            </w:pPr>
            <w:r w:rsidDel="00000000" w:rsidR="00000000" w:rsidRPr="00000000">
              <w:rPr>
                <w:sz w:val="22"/>
                <w:szCs w:val="22"/>
                <w:rtl w:val="0"/>
              </w:rPr>
              <w:t xml:space="preserve">Biomechanics</w:t>
            </w:r>
          </w:p>
          <w:p w:rsidR="00000000" w:rsidDel="00000000" w:rsidP="00000000" w:rsidRDefault="00000000" w:rsidRPr="00000000" w14:paraId="00000094">
            <w:pPr>
              <w:rPr>
                <w:b w:val="1"/>
                <w:sz w:val="22"/>
                <w:szCs w:val="22"/>
              </w:rPr>
            </w:pPr>
            <w:r w:rsidDel="00000000" w:rsidR="00000000" w:rsidRPr="00000000">
              <w:rPr>
                <w:rtl w:val="0"/>
              </w:rPr>
            </w:r>
          </w:p>
        </w:tc>
        <w:tc>
          <w:tcPr/>
          <w:p w:rsidR="00000000" w:rsidDel="00000000" w:rsidP="00000000" w:rsidRDefault="00000000" w:rsidRPr="00000000" w14:paraId="00000095">
            <w:pPr>
              <w:rPr>
                <w:b w:val="1"/>
                <w:sz w:val="22"/>
                <w:szCs w:val="22"/>
              </w:rPr>
            </w:pPr>
            <w:r w:rsidDel="00000000" w:rsidR="00000000" w:rsidRPr="00000000">
              <w:rPr>
                <w:b w:val="1"/>
                <w:sz w:val="22"/>
                <w:szCs w:val="22"/>
                <w:rtl w:val="0"/>
              </w:rPr>
              <w:t xml:space="preserve">Biomechanical theory and concepts</w:t>
            </w:r>
          </w:p>
          <w:p w:rsidR="00000000" w:rsidDel="00000000" w:rsidP="00000000" w:rsidRDefault="00000000" w:rsidRPr="00000000" w14:paraId="00000096">
            <w:pPr>
              <w:rPr>
                <w:b w:val="1"/>
                <w:sz w:val="22"/>
                <w:szCs w:val="22"/>
              </w:rPr>
            </w:pPr>
            <w:r w:rsidDel="00000000" w:rsidR="00000000" w:rsidRPr="00000000">
              <w:rPr>
                <w:b w:val="1"/>
                <w:sz w:val="22"/>
                <w:szCs w:val="22"/>
                <w:rtl w:val="0"/>
              </w:rPr>
              <w:t xml:space="preserve">Seven principles of biomechanics</w:t>
            </w:r>
          </w:p>
          <w:p w:rsidR="00000000" w:rsidDel="00000000" w:rsidP="00000000" w:rsidRDefault="00000000" w:rsidRPr="00000000" w14:paraId="00000097">
            <w:pPr>
              <w:rPr>
                <w:b w:val="1"/>
                <w:sz w:val="22"/>
                <w:szCs w:val="22"/>
              </w:rPr>
            </w:pPr>
            <w:r w:rsidDel="00000000" w:rsidR="00000000" w:rsidRPr="00000000">
              <w:rPr>
                <w:b w:val="1"/>
                <w:sz w:val="22"/>
                <w:szCs w:val="22"/>
                <w:rtl w:val="0"/>
              </w:rPr>
              <w:t xml:space="preserve">Analyzing Human Movement</w:t>
            </w:r>
          </w:p>
          <w:p w:rsidR="00000000" w:rsidDel="00000000" w:rsidP="00000000" w:rsidRDefault="00000000" w:rsidRPr="00000000" w14:paraId="00000098">
            <w:pPr>
              <w:rPr>
                <w:b w:val="1"/>
                <w:sz w:val="22"/>
                <w:szCs w:val="22"/>
              </w:rPr>
            </w:pPr>
            <w:r w:rsidDel="00000000" w:rsidR="00000000" w:rsidRPr="00000000">
              <w:rPr>
                <w:b w:val="1"/>
                <w:sz w:val="22"/>
                <w:szCs w:val="22"/>
                <w:rtl w:val="0"/>
              </w:rPr>
              <w:t xml:space="preserve">Technologies in biomechanics</w:t>
            </w:r>
          </w:p>
        </w:tc>
        <w:tc>
          <w:tcPr/>
          <w:p w:rsidR="00000000" w:rsidDel="00000000" w:rsidP="00000000" w:rsidRDefault="00000000" w:rsidRPr="00000000" w14:paraId="00000099">
            <w:pPr>
              <w:rPr>
                <w:b w:val="1"/>
                <w:sz w:val="22"/>
                <w:szCs w:val="22"/>
              </w:rPr>
            </w:pPr>
            <w:r w:rsidDel="00000000" w:rsidR="00000000" w:rsidRPr="00000000">
              <w:rPr>
                <w:b w:val="1"/>
                <w:sz w:val="22"/>
                <w:szCs w:val="22"/>
                <w:rtl w:val="0"/>
              </w:rPr>
              <w:t xml:space="preserve">Quizzes</w:t>
            </w:r>
          </w:p>
          <w:p w:rsidR="00000000" w:rsidDel="00000000" w:rsidP="00000000" w:rsidRDefault="00000000" w:rsidRPr="00000000" w14:paraId="0000009A">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9B">
            <w:pPr>
              <w:rPr>
                <w:b w:val="1"/>
                <w:sz w:val="22"/>
                <w:szCs w:val="22"/>
              </w:rPr>
            </w:pPr>
            <w:r w:rsidDel="00000000" w:rsidR="00000000" w:rsidRPr="00000000">
              <w:rPr>
                <w:b w:val="1"/>
                <w:sz w:val="22"/>
                <w:szCs w:val="22"/>
                <w:rtl w:val="0"/>
              </w:rPr>
              <w:t xml:space="preserve">Biomechanical Analysis Lab</w:t>
            </w:r>
          </w:p>
        </w:tc>
        <w:tc>
          <w:tcPr/>
          <w:p w:rsidR="00000000" w:rsidDel="00000000" w:rsidP="00000000" w:rsidRDefault="00000000" w:rsidRPr="00000000" w14:paraId="0000009C">
            <w:pPr>
              <w:jc w:val="center"/>
              <w:rPr>
                <w:b w:val="1"/>
                <w:sz w:val="22"/>
                <w:szCs w:val="22"/>
              </w:rPr>
            </w:pPr>
            <w:r w:rsidDel="00000000" w:rsidR="00000000" w:rsidRPr="00000000">
              <w:rPr>
                <w:rtl w:val="0"/>
              </w:rPr>
            </w:r>
          </w:p>
          <w:p w:rsidR="00000000" w:rsidDel="00000000" w:rsidP="00000000" w:rsidRDefault="00000000" w:rsidRPr="00000000" w14:paraId="0000009D">
            <w:pPr>
              <w:jc w:val="center"/>
              <w:rPr>
                <w:b w:val="1"/>
                <w:sz w:val="22"/>
                <w:szCs w:val="22"/>
              </w:rPr>
            </w:pPr>
            <w:r w:rsidDel="00000000" w:rsidR="00000000" w:rsidRPr="00000000">
              <w:rPr>
                <w:b w:val="1"/>
                <w:sz w:val="22"/>
                <w:szCs w:val="22"/>
                <w:rtl w:val="0"/>
              </w:rPr>
              <w:t xml:space="preserve">20 days</w:t>
            </w:r>
          </w:p>
        </w:tc>
      </w:tr>
      <w:tr>
        <w:trPr>
          <w:cantSplit w:val="0"/>
          <w:trHeight w:val="233" w:hRule="atLeast"/>
          <w:tblHeader w:val="0"/>
        </w:trPr>
        <w:tc>
          <w:tcPr/>
          <w:p w:rsidR="00000000" w:rsidDel="00000000" w:rsidP="00000000" w:rsidRDefault="00000000" w:rsidRPr="00000000" w14:paraId="0000009E">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b w:val="1"/>
                <w:sz w:val="22"/>
                <w:szCs w:val="22"/>
              </w:rPr>
            </w:pPr>
            <w:r w:rsidDel="00000000" w:rsidR="00000000" w:rsidRPr="00000000">
              <w:rPr>
                <w:rtl w:val="0"/>
              </w:rPr>
            </w:r>
          </w:p>
        </w:tc>
        <w:tc>
          <w:tcPr/>
          <w:p w:rsidR="00000000" w:rsidDel="00000000" w:rsidP="00000000" w:rsidRDefault="00000000" w:rsidRPr="00000000" w14:paraId="000000A1">
            <w:pPr>
              <w:rPr>
                <w:b w:val="1"/>
                <w:sz w:val="22"/>
                <w:szCs w:val="22"/>
              </w:rPr>
            </w:pPr>
            <w:r w:rsidDel="00000000" w:rsidR="00000000" w:rsidRPr="00000000">
              <w:rPr>
                <w:b w:val="1"/>
                <w:sz w:val="22"/>
                <w:szCs w:val="22"/>
                <w:rtl w:val="0"/>
              </w:rPr>
              <w:t xml:space="preserve">A culmination of principles and theories as discovered throughout the course</w:t>
            </w:r>
          </w:p>
        </w:tc>
        <w:tc>
          <w:tcPr/>
          <w:p w:rsidR="00000000" w:rsidDel="00000000" w:rsidP="00000000" w:rsidRDefault="00000000" w:rsidRPr="00000000" w14:paraId="000000A2">
            <w:pPr>
              <w:rPr>
                <w:b w:val="1"/>
                <w:sz w:val="22"/>
                <w:szCs w:val="22"/>
              </w:rPr>
            </w:pPr>
            <w:r w:rsidDel="00000000" w:rsidR="00000000" w:rsidRPr="00000000">
              <w:rPr>
                <w:b w:val="1"/>
                <w:sz w:val="22"/>
                <w:szCs w:val="22"/>
                <w:rtl w:val="0"/>
              </w:rPr>
              <w:t xml:space="preserve">Group Presentation</w:t>
            </w:r>
          </w:p>
          <w:p w:rsidR="00000000" w:rsidDel="00000000" w:rsidP="00000000" w:rsidRDefault="00000000" w:rsidRPr="00000000" w14:paraId="000000A3">
            <w:pPr>
              <w:rPr>
                <w:b w:val="1"/>
                <w:sz w:val="22"/>
                <w:szCs w:val="22"/>
              </w:rPr>
            </w:pPr>
            <w:r w:rsidDel="00000000" w:rsidR="00000000" w:rsidRPr="00000000">
              <w:rPr>
                <w:b w:val="1"/>
                <w:sz w:val="22"/>
                <w:szCs w:val="22"/>
                <w:rtl w:val="0"/>
              </w:rPr>
              <w:t xml:space="preserve">Final Exam</w:t>
            </w:r>
          </w:p>
        </w:tc>
        <w:tc>
          <w:tcPr/>
          <w:p w:rsidR="00000000" w:rsidDel="00000000" w:rsidP="00000000" w:rsidRDefault="00000000" w:rsidRPr="00000000" w14:paraId="000000A4">
            <w:pPr>
              <w:rPr>
                <w:b w:val="1"/>
                <w:sz w:val="22"/>
                <w:szCs w:val="22"/>
              </w:rPr>
            </w:pPr>
            <w:r w:rsidDel="00000000" w:rsidR="00000000" w:rsidRPr="00000000">
              <w:rPr>
                <w:b w:val="1"/>
                <w:sz w:val="22"/>
                <w:szCs w:val="22"/>
                <w:rtl w:val="0"/>
              </w:rPr>
              <w:t xml:space="preserve">30 mins</w:t>
            </w:r>
          </w:p>
          <w:p w:rsidR="00000000" w:rsidDel="00000000" w:rsidP="00000000" w:rsidRDefault="00000000" w:rsidRPr="00000000" w14:paraId="000000A5">
            <w:pPr>
              <w:rPr>
                <w:b w:val="1"/>
                <w:sz w:val="22"/>
                <w:szCs w:val="22"/>
              </w:rPr>
            </w:pPr>
            <w:r w:rsidDel="00000000" w:rsidR="00000000" w:rsidRPr="00000000">
              <w:rPr>
                <w:b w:val="1"/>
                <w:sz w:val="22"/>
                <w:szCs w:val="22"/>
                <w:rtl w:val="0"/>
              </w:rPr>
              <w:t xml:space="preserve">120 mins</w:t>
            </w:r>
          </w:p>
        </w:tc>
      </w:tr>
    </w:tbl>
    <w:p w:rsidR="00000000" w:rsidDel="00000000" w:rsidP="00000000" w:rsidRDefault="00000000" w:rsidRPr="00000000" w14:paraId="000000A6">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