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12 Painting (AWN4M1)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Department:Visual Arts</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Verdana" w:cs="Verdana" w:eastAsia="Verdana" w:hAnsi="Verdana"/>
                <w:sz w:val="18"/>
                <w:szCs w:val="18"/>
              </w:rPr>
            </w:pPr>
            <w:r w:rsidDel="00000000" w:rsidR="00000000" w:rsidRPr="00000000">
              <w:rPr>
                <w:rFonts w:ascii="Calibri" w:cs="Calibri" w:eastAsia="Calibri" w:hAnsi="Calibri"/>
                <w:sz w:val="20"/>
                <w:szCs w:val="20"/>
                <w:rtl w:val="0"/>
              </w:rPr>
              <w:t xml:space="preserve">In this course, stude</w:t>
            </w:r>
            <w:r w:rsidDel="00000000" w:rsidR="00000000" w:rsidRPr="00000000">
              <w:rPr>
                <w:sz w:val="20"/>
                <w:szCs w:val="20"/>
                <w:rtl w:val="0"/>
              </w:rPr>
              <w:t xml:space="preserve">nts will be </w:t>
            </w:r>
            <w:r w:rsidDel="00000000" w:rsidR="00000000" w:rsidRPr="00000000">
              <w:rPr>
                <w:rFonts w:ascii="Arial" w:cs="Arial" w:eastAsia="Arial" w:hAnsi="Arial"/>
                <w:sz w:val="18"/>
                <w:szCs w:val="18"/>
                <w:rtl w:val="0"/>
              </w:rPr>
              <w:t xml:space="preserve">exposed to a variety of painting processes, techniques and applications using acrylic paints and other mediums. As well, they will be familiarized with a variety of both historical and contemporary painters and their approaches to painting. Students will explore and experiment with colour theory, paint application, various surfaces and mixed media applications. Emphasis will be placed on the development of personal imagery, colour use and signature mark making. Students will also develop a body of process and analytical work through their sketchbooks and process folders</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6">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20">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6">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7">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A">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B">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D">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30">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31">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2">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D">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E">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41">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7">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9">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A">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B">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F">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50">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latest/attendance becomes an issue/hindrance. If the student knows about an absence in advance, they should contact the teacher.</w:t>
            </w:r>
          </w:p>
          <w:p w:rsidR="00000000" w:rsidDel="00000000" w:rsidP="00000000" w:rsidRDefault="00000000" w:rsidRPr="00000000" w14:paraId="00000051">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54">
      <w:pPr>
        <w:rPr>
          <w:sz w:val="6"/>
          <w:szCs w:val="6"/>
        </w:rPr>
      </w:pPr>
      <w:r w:rsidDel="00000000" w:rsidR="00000000" w:rsidRPr="00000000">
        <w:rPr>
          <w:sz w:val="6"/>
          <w:szCs w:val="6"/>
          <w:rtl w:val="0"/>
        </w:rPr>
        <w:t xml:space="preserve">\\\\</w:t>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p w:rsidR="00000000" w:rsidDel="00000000" w:rsidP="00000000" w:rsidRDefault="00000000" w:rsidRPr="00000000" w14:paraId="0000005D">
      <w:pPr>
        <w:rPr>
          <w:sz w:val="6"/>
          <w:szCs w:val="6"/>
        </w:rPr>
      </w:pPr>
      <w:r w:rsidDel="00000000" w:rsidR="00000000" w:rsidRPr="00000000">
        <w:rPr>
          <w:rtl w:val="0"/>
        </w:rPr>
      </w:r>
    </w:p>
    <w:p w:rsidR="00000000" w:rsidDel="00000000" w:rsidP="00000000" w:rsidRDefault="00000000" w:rsidRPr="00000000" w14:paraId="0000005E">
      <w:pPr>
        <w:rPr>
          <w:sz w:val="6"/>
          <w:szCs w:val="6"/>
        </w:rPr>
      </w:pPr>
      <w:r w:rsidDel="00000000" w:rsidR="00000000" w:rsidRPr="00000000">
        <w:rPr>
          <w:rtl w:val="0"/>
        </w:rPr>
      </w:r>
    </w:p>
    <w:p w:rsidR="00000000" w:rsidDel="00000000" w:rsidP="00000000" w:rsidRDefault="00000000" w:rsidRPr="00000000" w14:paraId="0000005F">
      <w:pPr>
        <w:rPr>
          <w:sz w:val="6"/>
          <w:szCs w:val="6"/>
        </w:rPr>
      </w:pPr>
      <w:r w:rsidDel="00000000" w:rsidR="00000000" w:rsidRPr="00000000">
        <w:rPr>
          <w:rtl w:val="0"/>
        </w:rPr>
      </w:r>
    </w:p>
    <w:p w:rsidR="00000000" w:rsidDel="00000000" w:rsidP="00000000" w:rsidRDefault="00000000" w:rsidRPr="00000000" w14:paraId="00000060">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61">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62">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6">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7">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8">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9">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A">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B">
            <w:pPr>
              <w:rPr>
                <w:sz w:val="22"/>
                <w:szCs w:val="22"/>
              </w:rPr>
            </w:pPr>
            <w:r w:rsidDel="00000000" w:rsidR="00000000" w:rsidRPr="00000000">
              <w:rPr>
                <w:rFonts w:ascii="Arial" w:cs="Arial" w:eastAsia="Arial" w:hAnsi="Arial"/>
                <w:b w:val="1"/>
                <w:sz w:val="18"/>
                <w:szCs w:val="18"/>
                <w:rtl w:val="0"/>
              </w:rPr>
              <w:t xml:space="preserve">Colour Theory</w:t>
            </w: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b w:val="1"/>
                <w:sz w:val="22"/>
                <w:szCs w:val="22"/>
              </w:rPr>
            </w:pPr>
            <w:r w:rsidDel="00000000" w:rsidR="00000000" w:rsidRPr="00000000">
              <w:rPr>
                <w:rtl w:val="0"/>
              </w:rPr>
            </w:r>
          </w:p>
        </w:tc>
        <w:tc>
          <w:tcPr/>
          <w:p w:rsidR="00000000" w:rsidDel="00000000" w:rsidP="00000000" w:rsidRDefault="00000000" w:rsidRPr="00000000" w14:paraId="0000006E">
            <w:pPr>
              <w:widowControl w:val="0"/>
              <w:rPr>
                <w:rFonts w:ascii="Arial" w:cs="Arial" w:eastAsia="Arial" w:hAnsi="Arial"/>
                <w:sz w:val="18"/>
                <w:szCs w:val="18"/>
              </w:rPr>
            </w:pPr>
            <w:r w:rsidDel="00000000" w:rsidR="00000000" w:rsidRPr="00000000">
              <w:rPr>
                <w:rFonts w:ascii="Arial" w:cs="Arial" w:eastAsia="Arial" w:hAnsi="Arial"/>
                <w:i w:val="1"/>
                <w:sz w:val="18"/>
                <w:szCs w:val="18"/>
                <w:rtl w:val="0"/>
              </w:rPr>
              <w:t xml:space="preserve">This unit is intended to further familiarize students with the complexities of colour and its application using acrylic paints</w:t>
            </w:r>
            <w:r w:rsidDel="00000000" w:rsidR="00000000" w:rsidRPr="00000000">
              <w:rPr>
                <w:rtl w:val="0"/>
              </w:rPr>
            </w:r>
          </w:p>
          <w:p w:rsidR="00000000" w:rsidDel="00000000" w:rsidP="00000000" w:rsidRDefault="00000000" w:rsidRPr="00000000" w14:paraId="0000006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rPr>
                <w:b w:val="1"/>
                <w:sz w:val="22"/>
                <w:szCs w:val="22"/>
              </w:rPr>
            </w:pPr>
            <w:r w:rsidDel="00000000" w:rsidR="00000000" w:rsidRPr="00000000">
              <w:rPr>
                <w:rtl w:val="0"/>
              </w:rPr>
            </w:r>
          </w:p>
        </w:tc>
        <w:tc>
          <w:tcPr/>
          <w:p w:rsidR="00000000" w:rsidDel="00000000" w:rsidP="00000000" w:rsidRDefault="00000000" w:rsidRPr="00000000" w14:paraId="00000071">
            <w:pPr>
              <w:widowControl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Culminating task: Colour matching- Students will match all of the clours found throughout the surface of a personal photograph : primary, secondary, tertiary, tints, shades, tones , analogous and complementary matches. </w:t>
            </w:r>
          </w:p>
          <w:p w:rsidR="00000000" w:rsidDel="00000000" w:rsidP="00000000" w:rsidRDefault="00000000" w:rsidRPr="00000000" w14:paraId="00000072">
            <w:pPr>
              <w:widowControl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Artists will drive personal meaning from selections used in commercial design.</w:t>
            </w:r>
          </w:p>
          <w:p w:rsidR="00000000" w:rsidDel="00000000" w:rsidP="00000000" w:rsidRDefault="00000000" w:rsidRPr="00000000" w14:paraId="00000073">
            <w:pPr>
              <w:rPr>
                <w:b w:val="1"/>
                <w:sz w:val="22"/>
                <w:szCs w:val="22"/>
              </w:rPr>
            </w:pPr>
            <w:r w:rsidDel="00000000" w:rsidR="00000000" w:rsidRPr="00000000">
              <w:rPr>
                <w:rtl w:val="0"/>
              </w:rPr>
            </w:r>
          </w:p>
        </w:tc>
        <w:tc>
          <w:tcPr/>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Two weeks</w:t>
            </w:r>
          </w:p>
        </w:tc>
      </w:tr>
      <w:tr>
        <w:trPr>
          <w:cantSplit w:val="0"/>
          <w:trHeight w:val="233" w:hRule="atLeast"/>
          <w:tblHeader w:val="0"/>
        </w:trPr>
        <w:tc>
          <w:tcPr/>
          <w:p w:rsidR="00000000" w:rsidDel="00000000" w:rsidP="00000000" w:rsidRDefault="00000000" w:rsidRPr="00000000" w14:paraId="00000075">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6">
            <w:pPr>
              <w:rPr>
                <w:sz w:val="22"/>
                <w:szCs w:val="22"/>
              </w:rPr>
            </w:pPr>
            <w:r w:rsidDel="00000000" w:rsidR="00000000" w:rsidRPr="00000000">
              <w:rPr>
                <w:sz w:val="22"/>
                <w:szCs w:val="22"/>
                <w:rtl w:val="0"/>
              </w:rPr>
              <w:t xml:space="preserve">Colour Field Painting</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b w:val="1"/>
                <w:sz w:val="22"/>
                <w:szCs w:val="22"/>
              </w:rPr>
            </w:pPr>
            <w:r w:rsidDel="00000000" w:rsidR="00000000" w:rsidRPr="00000000">
              <w:rPr>
                <w:rtl w:val="0"/>
              </w:rPr>
            </w:r>
          </w:p>
        </w:tc>
        <w:tc>
          <w:tcPr/>
          <w:p w:rsidR="00000000" w:rsidDel="00000000" w:rsidP="00000000" w:rsidRDefault="00000000" w:rsidRPr="00000000" w14:paraId="00000079">
            <w:pPr>
              <w:widowControl w:val="0"/>
              <w:rPr>
                <w:b w:val="1"/>
                <w:sz w:val="22"/>
                <w:szCs w:val="22"/>
              </w:rPr>
            </w:pPr>
            <w:r w:rsidDel="00000000" w:rsidR="00000000" w:rsidRPr="00000000">
              <w:rPr>
                <w:rFonts w:ascii="Arial" w:cs="Arial" w:eastAsia="Arial" w:hAnsi="Arial"/>
                <w:i w:val="1"/>
                <w:sz w:val="18"/>
                <w:szCs w:val="18"/>
                <w:rtl w:val="0"/>
              </w:rPr>
              <w:t xml:space="preserve">The psychological/emotional impact of colour use will be analyzed and demonstrated in non representational colour field painting inspired by the palette of original source photo from the previous unit.</w:t>
            </w:r>
            <w:r w:rsidDel="00000000" w:rsidR="00000000" w:rsidRPr="00000000">
              <w:rPr>
                <w:rtl w:val="0"/>
              </w:rPr>
            </w:r>
          </w:p>
        </w:tc>
        <w:tc>
          <w:tcPr/>
          <w:p w:rsidR="00000000" w:rsidDel="00000000" w:rsidP="00000000" w:rsidRDefault="00000000" w:rsidRPr="00000000" w14:paraId="0000007A">
            <w:pPr>
              <w:widowControl w:val="0"/>
              <w:rPr>
                <w:b w:val="1"/>
                <w:sz w:val="22"/>
                <w:szCs w:val="22"/>
              </w:rPr>
            </w:pPr>
            <w:r w:rsidDel="00000000" w:rsidR="00000000" w:rsidRPr="00000000">
              <w:rPr>
                <w:rFonts w:ascii="Arial" w:cs="Arial" w:eastAsia="Arial" w:hAnsi="Arial"/>
                <w:i w:val="1"/>
                <w:sz w:val="18"/>
                <w:szCs w:val="18"/>
                <w:rtl w:val="0"/>
              </w:rPr>
              <w:t xml:space="preserve">Culminating task: Students will create a hard-edge, colourfield piece using acrylic paints based on the mood, atmosphere and ideas evoked from personal source photo.</w:t>
            </w: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Three weeks</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3: Surface Painting- “Corrugate”</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widowControl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This unit  examines experimental design as informed by the  inherent purpose and markings present on a cardboard surface.</w:t>
            </w:r>
          </w:p>
          <w:p w:rsidR="00000000" w:rsidDel="00000000" w:rsidP="00000000" w:rsidRDefault="00000000" w:rsidRPr="00000000" w14:paraId="00000080">
            <w:pPr>
              <w:rPr>
                <w:b w:val="1"/>
                <w:sz w:val="22"/>
                <w:szCs w:val="22"/>
              </w:rPr>
            </w:pPr>
            <w:r w:rsidDel="00000000" w:rsidR="00000000" w:rsidRPr="00000000">
              <w:rPr>
                <w:rtl w:val="0"/>
              </w:rPr>
            </w:r>
          </w:p>
        </w:tc>
        <w:tc>
          <w:tcPr/>
          <w:p w:rsidR="00000000" w:rsidDel="00000000" w:rsidP="00000000" w:rsidRDefault="00000000" w:rsidRPr="00000000" w14:paraId="00000081">
            <w:pPr>
              <w:widowControl w:val="0"/>
              <w:rPr>
                <w:rFonts w:ascii="Arial" w:cs="Arial" w:eastAsia="Arial" w:hAnsi="Arial"/>
                <w:sz w:val="18"/>
                <w:szCs w:val="18"/>
              </w:rPr>
            </w:pPr>
            <w:r w:rsidDel="00000000" w:rsidR="00000000" w:rsidRPr="00000000">
              <w:rPr>
                <w:rFonts w:ascii="Arial" w:cs="Arial" w:eastAsia="Arial" w:hAnsi="Arial"/>
                <w:i w:val="1"/>
                <w:sz w:val="18"/>
                <w:szCs w:val="18"/>
                <w:rtl w:val="0"/>
              </w:rPr>
              <w:t xml:space="preserve">Culminating task: Process and final piece on selected cardboard surface.</w:t>
            </w:r>
            <w:r w:rsidDel="00000000" w:rsidR="00000000" w:rsidRPr="00000000">
              <w:rPr>
                <w:rtl w:val="0"/>
              </w:rPr>
            </w:r>
          </w:p>
          <w:p w:rsidR="00000000" w:rsidDel="00000000" w:rsidP="00000000" w:rsidRDefault="00000000" w:rsidRPr="00000000" w14:paraId="00000082">
            <w:pPr>
              <w:widowControl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Final piece will be supported by in class process work and artist talk.</w:t>
            </w:r>
          </w:p>
          <w:p w:rsidR="00000000" w:rsidDel="00000000" w:rsidP="00000000" w:rsidRDefault="00000000" w:rsidRPr="00000000" w14:paraId="00000083">
            <w:pPr>
              <w:widowControl w:val="0"/>
              <w:rPr>
                <w:rFonts w:ascii="Arial" w:cs="Arial" w:eastAsia="Arial" w:hAnsi="Arial"/>
                <w:i w:val="1"/>
                <w:sz w:val="18"/>
                <w:szCs w:val="18"/>
              </w:rPr>
            </w:pPr>
            <w:r w:rsidDel="00000000" w:rsidR="00000000" w:rsidRPr="00000000">
              <w:rPr>
                <w:rtl w:val="0"/>
              </w:rPr>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Three-</w:t>
            </w:r>
          </w:p>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four weeks</w:t>
            </w:r>
          </w:p>
        </w:tc>
      </w:tr>
      <w:tr>
        <w:trPr>
          <w:cantSplit w:val="0"/>
          <w:trHeight w:val="233" w:hRule="atLeast"/>
          <w:tblHeader w:val="0"/>
        </w:trPr>
        <w:tc>
          <w:tcPr/>
          <w:p w:rsidR="00000000" w:rsidDel="00000000" w:rsidP="00000000" w:rsidRDefault="00000000" w:rsidRPr="00000000" w14:paraId="00000086">
            <w:pPr>
              <w:rPr>
                <w:sz w:val="22"/>
                <w:szCs w:val="22"/>
              </w:rPr>
            </w:pPr>
            <w:r w:rsidDel="00000000" w:rsidR="00000000" w:rsidRPr="00000000">
              <w:rPr>
                <w:sz w:val="22"/>
                <w:szCs w:val="22"/>
                <w:rtl w:val="0"/>
              </w:rPr>
              <w:t xml:space="preserve">Unit 4: Reading/Viewing Response</w:t>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b w:val="1"/>
                <w:sz w:val="22"/>
                <w:szCs w:val="22"/>
              </w:rPr>
            </w:pPr>
            <w:r w:rsidDel="00000000" w:rsidR="00000000" w:rsidRPr="00000000">
              <w:rPr>
                <w:rtl w:val="0"/>
              </w:rPr>
            </w:r>
          </w:p>
        </w:tc>
        <w:tc>
          <w:tcPr/>
          <w:p w:rsidR="00000000" w:rsidDel="00000000" w:rsidP="00000000" w:rsidRDefault="00000000" w:rsidRPr="00000000" w14:paraId="00000089">
            <w:pPr>
              <w:widowControl w:val="0"/>
              <w:rPr>
                <w:b w:val="1"/>
                <w:sz w:val="22"/>
                <w:szCs w:val="22"/>
              </w:rPr>
            </w:pPr>
            <w:r w:rsidDel="00000000" w:rsidR="00000000" w:rsidRPr="00000000">
              <w:rPr>
                <w:rFonts w:ascii="Arial" w:cs="Arial" w:eastAsia="Arial" w:hAnsi="Arial"/>
                <w:i w:val="1"/>
                <w:sz w:val="18"/>
                <w:szCs w:val="18"/>
                <w:rtl w:val="0"/>
              </w:rPr>
              <w:t xml:space="preserve">A critical examination and reflection on contemporary practices of painting (architecture/design as focus)</w:t>
            </w:r>
            <w:r w:rsidDel="00000000" w:rsidR="00000000" w:rsidRPr="00000000">
              <w:rPr>
                <w:rtl w:val="0"/>
              </w:rPr>
            </w:r>
          </w:p>
        </w:tc>
        <w:tc>
          <w:tcPr/>
          <w:p w:rsidR="00000000" w:rsidDel="00000000" w:rsidP="00000000" w:rsidRDefault="00000000" w:rsidRPr="00000000" w14:paraId="0000008A">
            <w:pPr>
              <w:widowControl w:val="0"/>
              <w:rPr>
                <w:b w:val="1"/>
                <w:sz w:val="22"/>
                <w:szCs w:val="22"/>
              </w:rPr>
            </w:pPr>
            <w:r w:rsidDel="00000000" w:rsidR="00000000" w:rsidRPr="00000000">
              <w:rPr>
                <w:rFonts w:ascii="Arial" w:cs="Arial" w:eastAsia="Arial" w:hAnsi="Arial"/>
                <w:i w:val="1"/>
                <w:sz w:val="18"/>
                <w:szCs w:val="18"/>
                <w:rtl w:val="0"/>
              </w:rPr>
              <w:t xml:space="preserve">Culminating task: Students will research and reflect on a specific artist whose work addresses the design of space through painting.</w:t>
            </w: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Two weeks</w:t>
            </w:r>
          </w:p>
        </w:tc>
      </w:tr>
      <w:tr>
        <w:trPr>
          <w:cantSplit w:val="0"/>
          <w:trHeight w:val="233" w:hRule="atLeast"/>
          <w:tblHeader w:val="0"/>
        </w:trPr>
        <w:tc>
          <w:tcPr/>
          <w:p w:rsidR="00000000" w:rsidDel="00000000" w:rsidP="00000000" w:rsidRDefault="00000000" w:rsidRPr="00000000" w14:paraId="0000008C">
            <w:pPr>
              <w:rPr>
                <w:sz w:val="22"/>
                <w:szCs w:val="22"/>
              </w:rPr>
            </w:pPr>
            <w:r w:rsidDel="00000000" w:rsidR="00000000" w:rsidRPr="00000000">
              <w:rPr>
                <w:sz w:val="22"/>
                <w:szCs w:val="22"/>
                <w:rtl w:val="0"/>
              </w:rPr>
              <w:t xml:space="preserve">Unit 5: Architectural Abstraction</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b w:val="1"/>
                <w:sz w:val="22"/>
                <w:szCs w:val="22"/>
              </w:rPr>
            </w:pPr>
            <w:r w:rsidDel="00000000" w:rsidR="00000000" w:rsidRPr="00000000">
              <w:rPr>
                <w:rtl w:val="0"/>
              </w:rPr>
            </w:r>
          </w:p>
        </w:tc>
        <w:tc>
          <w:tcPr/>
          <w:p w:rsidR="00000000" w:rsidDel="00000000" w:rsidP="00000000" w:rsidRDefault="00000000" w:rsidRPr="00000000" w14:paraId="0000008F">
            <w:pPr>
              <w:widowControl w:val="0"/>
              <w:rPr>
                <w:b w:val="1"/>
                <w:sz w:val="22"/>
                <w:szCs w:val="22"/>
              </w:rPr>
            </w:pPr>
            <w:r w:rsidDel="00000000" w:rsidR="00000000" w:rsidRPr="00000000">
              <w:rPr>
                <w:rFonts w:ascii="Arial" w:cs="Arial" w:eastAsia="Arial" w:hAnsi="Arial"/>
                <w:i w:val="1"/>
                <w:sz w:val="18"/>
                <w:szCs w:val="18"/>
                <w:rtl w:val="0"/>
              </w:rPr>
              <w:t xml:space="preserve">Students will examine,chose and document a specific form of architecture as their subject for abstraction in a mixed media painting.</w:t>
            </w:r>
            <w:r w:rsidDel="00000000" w:rsidR="00000000" w:rsidRPr="00000000">
              <w:rPr>
                <w:rtl w:val="0"/>
              </w:rPr>
            </w:r>
          </w:p>
        </w:tc>
        <w:tc>
          <w:tcPr/>
          <w:p w:rsidR="00000000" w:rsidDel="00000000" w:rsidP="00000000" w:rsidRDefault="00000000" w:rsidRPr="00000000" w14:paraId="00000090">
            <w:pPr>
              <w:widowControl w:val="0"/>
              <w:rPr>
                <w:rFonts w:ascii="Arial" w:cs="Arial" w:eastAsia="Arial" w:hAnsi="Arial"/>
                <w:sz w:val="18"/>
                <w:szCs w:val="18"/>
              </w:rPr>
            </w:pPr>
            <w:r w:rsidDel="00000000" w:rsidR="00000000" w:rsidRPr="00000000">
              <w:rPr>
                <w:rFonts w:ascii="Arial" w:cs="Arial" w:eastAsia="Arial" w:hAnsi="Arial"/>
                <w:i w:val="1"/>
                <w:sz w:val="18"/>
                <w:szCs w:val="18"/>
                <w:rtl w:val="0"/>
              </w:rPr>
              <w:t xml:space="preserve">Culminating task: Painting of architectural abstraction on  large-scale paper surface, using acrylics  and a variety of other materials.</w:t>
            </w:r>
            <w:r w:rsidDel="00000000" w:rsidR="00000000" w:rsidRPr="00000000">
              <w:rPr>
                <w:rtl w:val="0"/>
              </w:rPr>
            </w:r>
          </w:p>
          <w:p w:rsidR="00000000" w:rsidDel="00000000" w:rsidP="00000000" w:rsidRDefault="00000000" w:rsidRPr="00000000" w14:paraId="00000091">
            <w:pPr>
              <w:widowControl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Final piece will be supported by in class process work and artist talk.</w:t>
            </w:r>
          </w:p>
          <w:p w:rsidR="00000000" w:rsidDel="00000000" w:rsidP="00000000" w:rsidRDefault="00000000" w:rsidRPr="00000000" w14:paraId="00000092">
            <w:pPr>
              <w:widowControl w:val="0"/>
              <w:rPr>
                <w:rFonts w:ascii="Arial" w:cs="Arial" w:eastAsia="Arial" w:hAnsi="Arial"/>
                <w:i w:val="1"/>
                <w:sz w:val="18"/>
                <w:szCs w:val="18"/>
              </w:rPr>
            </w:pPr>
            <w:r w:rsidDel="00000000" w:rsidR="00000000" w:rsidRPr="00000000">
              <w:rPr>
                <w:rtl w:val="0"/>
              </w:rPr>
            </w:r>
          </w:p>
        </w:tc>
        <w:tc>
          <w:tcPr/>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Three Weeks</w:t>
            </w:r>
          </w:p>
        </w:tc>
      </w:tr>
      <w:tr>
        <w:trPr>
          <w:cantSplit w:val="0"/>
          <w:trHeight w:val="233" w:hRule="atLeast"/>
          <w:tblHeader w:val="0"/>
        </w:trPr>
        <w:tc>
          <w:tcPr/>
          <w:p w:rsidR="00000000" w:rsidDel="00000000" w:rsidP="00000000" w:rsidRDefault="00000000" w:rsidRPr="00000000" w14:paraId="00000094">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rPr>
                <w:b w:val="1"/>
                <w:sz w:val="22"/>
                <w:szCs w:val="22"/>
              </w:rPr>
            </w:pPr>
            <w:r w:rsidDel="00000000" w:rsidR="00000000" w:rsidRPr="00000000">
              <w:rPr>
                <w:rtl w:val="0"/>
              </w:rPr>
            </w:r>
          </w:p>
        </w:tc>
        <w:tc>
          <w:tcPr/>
          <w:p w:rsidR="00000000" w:rsidDel="00000000" w:rsidP="00000000" w:rsidRDefault="00000000" w:rsidRPr="00000000" w14:paraId="00000097">
            <w:pPr>
              <w:rPr>
                <w:i w:val="1"/>
                <w:sz w:val="22"/>
                <w:szCs w:val="22"/>
              </w:rPr>
            </w:pPr>
            <w:r w:rsidDel="00000000" w:rsidR="00000000" w:rsidRPr="00000000">
              <w:rPr>
                <w:i w:val="1"/>
                <w:sz w:val="22"/>
                <w:szCs w:val="22"/>
                <w:rtl w:val="0"/>
              </w:rPr>
              <w:t xml:space="preserve">The ongoing development of personal style through knowledge-based activities combined with personal experimentation/interpretation of broader themes.</w:t>
            </w:r>
          </w:p>
        </w:tc>
        <w:tc>
          <w:tcPr/>
          <w:p w:rsidR="00000000" w:rsidDel="00000000" w:rsidP="00000000" w:rsidRDefault="00000000" w:rsidRPr="00000000" w14:paraId="00000098">
            <w:pPr>
              <w:rPr>
                <w:i w:val="1"/>
                <w:sz w:val="22"/>
                <w:szCs w:val="22"/>
              </w:rPr>
            </w:pPr>
            <w:r w:rsidDel="00000000" w:rsidR="00000000" w:rsidRPr="00000000">
              <w:rPr>
                <w:i w:val="1"/>
                <w:sz w:val="22"/>
                <w:szCs w:val="22"/>
                <w:rtl w:val="0"/>
              </w:rPr>
              <w:t xml:space="preserve">Three unique pieces on three different surfaces, addressing prompts and themes that can be navigated back to the artist’s personal choice of style/imagery.</w:t>
            </w:r>
          </w:p>
        </w:tc>
        <w:tc>
          <w:tcPr/>
          <w:p w:rsidR="00000000" w:rsidDel="00000000" w:rsidP="00000000" w:rsidRDefault="00000000" w:rsidRPr="00000000" w14:paraId="00000099">
            <w:pPr>
              <w:rPr>
                <w:b w:val="1"/>
                <w:sz w:val="22"/>
                <w:szCs w:val="22"/>
              </w:rPr>
            </w:pPr>
            <w:r w:rsidDel="00000000" w:rsidR="00000000" w:rsidRPr="00000000">
              <w:rPr>
                <w:rtl w:val="0"/>
              </w:rPr>
            </w:r>
          </w:p>
        </w:tc>
      </w:tr>
    </w:tbl>
    <w:p w:rsidR="00000000" w:rsidDel="00000000" w:rsidP="00000000" w:rsidRDefault="00000000" w:rsidRPr="00000000" w14:paraId="0000009A">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