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8.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6045"/>
        <w:gridCol w:w="270"/>
        <w:gridCol w:w="2322"/>
        <w:tblGridChange w:id="0">
          <w:tblGrid>
            <w:gridCol w:w="1840"/>
            <w:gridCol w:w="341"/>
            <w:gridCol w:w="6045"/>
            <w:gridCol w:w="270"/>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ind w:right="-1407.7559055118115"/>
              <w:rPr>
                <w:sz w:val="22"/>
                <w:szCs w:val="22"/>
              </w:rPr>
            </w:pPr>
            <w:r w:rsidDel="00000000" w:rsidR="00000000" w:rsidRPr="00000000">
              <w:rPr>
                <w:sz w:val="22"/>
                <w:szCs w:val="22"/>
                <w:rtl w:val="0"/>
              </w:rPr>
              <w:t xml:space="preserve">Title of Course:        Grade 11 University Preparation Chemistry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   x 20095</w:t>
            </w:r>
          </w:p>
          <w:p w:rsidR="00000000" w:rsidDel="00000000" w:rsidP="00000000" w:rsidRDefault="00000000" w:rsidRPr="00000000" w14:paraId="0000000D">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2">
            <w:pPr>
              <w:jc w:val="left"/>
              <w:rPr>
                <w:sz w:val="22"/>
                <w:szCs w:val="22"/>
              </w:rPr>
            </w:pPr>
            <w:r w:rsidDel="00000000" w:rsidR="00000000" w:rsidRPr="00000000">
              <w:rPr>
                <w:sz w:val="22"/>
                <w:szCs w:val="22"/>
                <w:rtl w:val="0"/>
              </w:rPr>
              <w:t xml:space="preserve">leslie.fradkin@tdsb.on.ca</w:t>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2"/>
                <w:szCs w:val="22"/>
              </w:rPr>
            </w:pPr>
            <w:r w:rsidDel="00000000" w:rsidR="00000000" w:rsidRPr="00000000">
              <w:rPr>
                <w:rFonts w:ascii="Calibri" w:cs="Calibri" w:eastAsia="Calibri" w:hAnsi="Calibri"/>
                <w:sz w:val="20"/>
                <w:szCs w:val="20"/>
                <w:rtl w:val="0"/>
              </w:rPr>
              <w:t xml:space="preserve">In this course, students will</w:t>
            </w:r>
            <w:r w:rsidDel="00000000" w:rsidR="00000000" w:rsidRPr="00000000">
              <w:rPr>
                <w:sz w:val="20"/>
                <w:szCs w:val="20"/>
                <w:rtl w:val="0"/>
              </w:rPr>
              <w:t xml:space="preserve"> </w:t>
            </w:r>
            <w:r w:rsidDel="00000000" w:rsidR="00000000" w:rsidRPr="00000000">
              <w:rPr>
                <w:sz w:val="22"/>
                <w:szCs w:val="22"/>
                <w:rtl w:val="0"/>
              </w:rPr>
              <w:t xml:space="preserve">deepen their understanding of chemistry through the study of the properties of chemicals and chemical bonds; chemical reactions and quantitative relationships in those reactions; solutions and solubility; and atmospheric chemistry and the behavior of gasses. Students will further develop their analytical skills and investigate the qualitative and quantitative properties of matter, as well as the impact of some common chemical reactions on society and the environment.</w:t>
            </w:r>
          </w:p>
          <w:p w:rsidR="00000000" w:rsidDel="00000000" w:rsidP="00000000" w:rsidRDefault="00000000" w:rsidRPr="00000000" w14:paraId="00000017">
            <w:pPr>
              <w:spacing w:after="240" w:before="240" w:lineRule="auto"/>
              <w:rPr/>
            </w:pPr>
            <w:r w:rsidDel="00000000" w:rsidR="00000000" w:rsidRPr="00000000">
              <w:rPr>
                <w:b w:val="1"/>
                <w:sz w:val="22"/>
                <w:szCs w:val="22"/>
                <w:rtl w:val="0"/>
              </w:rPr>
              <w:t xml:space="preserve">Prerequisite: </w:t>
            </w:r>
            <w:r w:rsidDel="00000000" w:rsidR="00000000" w:rsidRPr="00000000">
              <w:rPr>
                <w:sz w:val="22"/>
                <w:szCs w:val="22"/>
                <w:rtl w:val="0"/>
              </w:rPr>
              <w:t xml:space="preserve">SNC2D</w:t>
            </w: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20%</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Lab Task</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Exam</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In addition, it is the student’s responsibility to come to class with the following materials:  Non-programmable scientific calculator, paper, pencils/pens, 3-ring binder, ruler, stapler.</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spacing w:after="240" w:before="240" w:lineRule="auto"/>
              <w:rPr>
                <w:b w:val="1"/>
                <w:sz w:val="22"/>
                <w:szCs w:val="22"/>
              </w:rPr>
            </w:pPr>
            <w:r w:rsidDel="00000000" w:rsidR="00000000" w:rsidRPr="00000000">
              <w:rPr>
                <w:b w:val="1"/>
                <w:sz w:val="22"/>
                <w:szCs w:val="22"/>
                <w:rtl w:val="0"/>
              </w:rPr>
              <w:t xml:space="preserve">Matter, Chemical Trends, and Chemical Bonding</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numPr>
                <w:ilvl w:val="0"/>
                <w:numId w:val="10"/>
              </w:numPr>
              <w:spacing w:after="0" w:afterAutospacing="0" w:lineRule="auto"/>
              <w:ind w:left="425.19685039370086" w:hanging="283.46456692913375"/>
              <w:rPr>
                <w:sz w:val="20"/>
                <w:szCs w:val="20"/>
              </w:rPr>
            </w:pPr>
            <w:r w:rsidDel="00000000" w:rsidR="00000000" w:rsidRPr="00000000">
              <w:rPr>
                <w:sz w:val="20"/>
                <w:szCs w:val="20"/>
                <w:rtl w:val="0"/>
              </w:rPr>
              <w:t xml:space="preserve">Every element has predictable chemical and physical properties determined by its structure.</w:t>
            </w:r>
          </w:p>
          <w:p w:rsidR="00000000" w:rsidDel="00000000" w:rsidP="00000000" w:rsidRDefault="00000000" w:rsidRPr="00000000" w14:paraId="00000069">
            <w:pPr>
              <w:numPr>
                <w:ilvl w:val="0"/>
                <w:numId w:val="10"/>
              </w:numPr>
              <w:spacing w:after="0" w:afterAutospacing="0" w:lineRule="auto"/>
              <w:ind w:left="425.19685039370086" w:hanging="283.46456692913375"/>
              <w:rPr>
                <w:sz w:val="20"/>
                <w:szCs w:val="20"/>
              </w:rPr>
            </w:pPr>
            <w:r w:rsidDel="00000000" w:rsidR="00000000" w:rsidRPr="00000000">
              <w:rPr>
                <w:sz w:val="20"/>
                <w:szCs w:val="20"/>
                <w:rtl w:val="0"/>
              </w:rPr>
              <w:t xml:space="preserve">The type of chemical bond in a compound determines the physical and chemical properties of that compound.</w:t>
            </w:r>
          </w:p>
          <w:p w:rsidR="00000000" w:rsidDel="00000000" w:rsidP="00000000" w:rsidRDefault="00000000" w:rsidRPr="00000000" w14:paraId="0000006A">
            <w:pPr>
              <w:numPr>
                <w:ilvl w:val="0"/>
                <w:numId w:val="10"/>
              </w:numPr>
              <w:spacing w:after="240" w:lineRule="auto"/>
              <w:ind w:left="425.19685039370086" w:hanging="283.46456692913375"/>
              <w:rPr>
                <w:sz w:val="20"/>
                <w:szCs w:val="20"/>
              </w:rPr>
            </w:pPr>
            <w:r w:rsidDel="00000000" w:rsidR="00000000" w:rsidRPr="00000000">
              <w:rPr>
                <w:sz w:val="20"/>
                <w:szCs w:val="20"/>
                <w:rtl w:val="0"/>
              </w:rPr>
              <w:t xml:space="preserve">It is important to use chemicals properly to minimize the risks to human health and the environment.</w:t>
            </w:r>
          </w:p>
        </w:tc>
        <w:tc>
          <w:tcPr/>
          <w:p w:rsidR="00000000" w:rsidDel="00000000" w:rsidP="00000000" w:rsidRDefault="00000000" w:rsidRPr="00000000" w14:paraId="0000006B">
            <w:pPr>
              <w:numPr>
                <w:ilvl w:val="0"/>
                <w:numId w:val="6"/>
              </w:numPr>
              <w:ind w:left="425.19685039370046" w:hanging="283.46456692913335"/>
              <w:rPr>
                <w:sz w:val="22"/>
                <w:szCs w:val="22"/>
                <w:u w:val="none"/>
              </w:rPr>
            </w:pPr>
            <w:r w:rsidDel="00000000" w:rsidR="00000000" w:rsidRPr="00000000">
              <w:rPr>
                <w:sz w:val="22"/>
                <w:szCs w:val="22"/>
                <w:rtl w:val="0"/>
              </w:rPr>
              <w:t xml:space="preserve">Unit Test</w:t>
            </w:r>
          </w:p>
          <w:p w:rsidR="00000000" w:rsidDel="00000000" w:rsidP="00000000" w:rsidRDefault="00000000" w:rsidRPr="00000000" w14:paraId="0000006C">
            <w:pPr>
              <w:numPr>
                <w:ilvl w:val="0"/>
                <w:numId w:val="6"/>
              </w:numPr>
              <w:ind w:left="425.19685039370046" w:hanging="283.46456692913335"/>
              <w:rPr>
                <w:sz w:val="22"/>
                <w:szCs w:val="22"/>
                <w:u w:val="none"/>
              </w:rPr>
            </w:pPr>
            <w:r w:rsidDel="00000000" w:rsidR="00000000" w:rsidRPr="00000000">
              <w:rPr>
                <w:sz w:val="22"/>
                <w:szCs w:val="22"/>
                <w:rtl w:val="0"/>
              </w:rPr>
              <w:t xml:space="preserve">Lab:  Determining the Thickness of Aluminum Foil</w:t>
            </w:r>
          </w:p>
          <w:p w:rsidR="00000000" w:rsidDel="00000000" w:rsidP="00000000" w:rsidRDefault="00000000" w:rsidRPr="00000000" w14:paraId="0000006D">
            <w:pPr>
              <w:numPr>
                <w:ilvl w:val="0"/>
                <w:numId w:val="6"/>
              </w:numPr>
              <w:ind w:left="425.19685039370046" w:hanging="283.46456692913335"/>
              <w:rPr>
                <w:sz w:val="22"/>
                <w:szCs w:val="22"/>
                <w:u w:val="none"/>
              </w:rPr>
            </w:pPr>
            <w:r w:rsidDel="00000000" w:rsidR="00000000" w:rsidRPr="00000000">
              <w:rPr>
                <w:sz w:val="22"/>
                <w:szCs w:val="22"/>
                <w:rtl w:val="0"/>
              </w:rPr>
              <w:t xml:space="preserve">Lab:  Building Molecular Models</w:t>
            </w:r>
          </w:p>
          <w:p w:rsidR="00000000" w:rsidDel="00000000" w:rsidP="00000000" w:rsidRDefault="00000000" w:rsidRPr="00000000" w14:paraId="0000006E">
            <w:pPr>
              <w:numPr>
                <w:ilvl w:val="0"/>
                <w:numId w:val="6"/>
              </w:numPr>
              <w:ind w:left="425.19685039370046" w:hanging="283.46456692913335"/>
              <w:rPr>
                <w:sz w:val="22"/>
                <w:szCs w:val="22"/>
                <w:u w:val="none"/>
              </w:rPr>
            </w:pPr>
            <w:r w:rsidDel="00000000" w:rsidR="00000000" w:rsidRPr="00000000">
              <w:rPr>
                <w:sz w:val="22"/>
                <w:szCs w:val="22"/>
                <w:rtl w:val="0"/>
              </w:rPr>
              <w:t xml:space="preserve">Quizzes</w:t>
            </w:r>
          </w:p>
          <w:p w:rsidR="00000000" w:rsidDel="00000000" w:rsidP="00000000" w:rsidRDefault="00000000" w:rsidRPr="00000000" w14:paraId="0000006F">
            <w:pPr>
              <w:ind w:left="720" w:firstLine="0"/>
              <w:rPr>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1">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2">
            <w:pPr>
              <w:spacing w:after="240" w:before="240" w:lineRule="auto"/>
              <w:rPr>
                <w:b w:val="1"/>
                <w:sz w:val="22"/>
                <w:szCs w:val="22"/>
              </w:rPr>
            </w:pPr>
            <w:r w:rsidDel="00000000" w:rsidR="00000000" w:rsidRPr="00000000">
              <w:rPr>
                <w:b w:val="1"/>
                <w:sz w:val="22"/>
                <w:szCs w:val="22"/>
                <w:rtl w:val="0"/>
              </w:rPr>
              <w:t xml:space="preserve">Chemical Reactions</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b w:val="1"/>
                <w:sz w:val="22"/>
                <w:szCs w:val="22"/>
              </w:rPr>
            </w:pPr>
            <w:r w:rsidDel="00000000" w:rsidR="00000000" w:rsidRPr="00000000">
              <w:rPr>
                <w:rtl w:val="0"/>
              </w:rPr>
            </w:r>
          </w:p>
        </w:tc>
        <w:tc>
          <w:tcPr/>
          <w:p w:rsidR="00000000" w:rsidDel="00000000" w:rsidP="00000000" w:rsidRDefault="00000000" w:rsidRPr="00000000" w14:paraId="00000075">
            <w:pPr>
              <w:numPr>
                <w:ilvl w:val="0"/>
                <w:numId w:val="1"/>
              </w:numPr>
              <w:spacing w:after="0" w:afterAutospacing="0" w:lineRule="auto"/>
              <w:ind w:left="425.19685039370086" w:hanging="283.46456692913375"/>
              <w:rPr>
                <w:sz w:val="20"/>
                <w:szCs w:val="20"/>
              </w:rPr>
            </w:pPr>
            <w:r w:rsidDel="00000000" w:rsidR="00000000" w:rsidRPr="00000000">
              <w:rPr>
                <w:sz w:val="20"/>
                <w:szCs w:val="20"/>
                <w:rtl w:val="0"/>
              </w:rPr>
              <w:t xml:space="preserve">Chemicals react in predictable ways.</w:t>
            </w:r>
          </w:p>
          <w:p w:rsidR="00000000" w:rsidDel="00000000" w:rsidP="00000000" w:rsidRDefault="00000000" w:rsidRPr="00000000" w14:paraId="00000076">
            <w:pPr>
              <w:numPr>
                <w:ilvl w:val="0"/>
                <w:numId w:val="1"/>
              </w:numPr>
              <w:spacing w:after="240" w:lineRule="auto"/>
              <w:ind w:left="425.19685039370086" w:hanging="283.46456692913375"/>
              <w:rPr>
                <w:sz w:val="20"/>
                <w:szCs w:val="20"/>
              </w:rPr>
            </w:pPr>
            <w:r w:rsidDel="00000000" w:rsidR="00000000" w:rsidRPr="00000000">
              <w:rPr>
                <w:sz w:val="20"/>
                <w:szCs w:val="20"/>
                <w:rtl w:val="0"/>
              </w:rPr>
              <w:t xml:space="preserve">Chemical reactions and their applications have significant implications for society and the environment.</w:t>
            </w:r>
          </w:p>
        </w:tc>
        <w:tc>
          <w:tcPr/>
          <w:p w:rsidR="00000000" w:rsidDel="00000000" w:rsidP="00000000" w:rsidRDefault="00000000" w:rsidRPr="00000000" w14:paraId="00000077">
            <w:pPr>
              <w:numPr>
                <w:ilvl w:val="0"/>
                <w:numId w:val="2"/>
              </w:numPr>
              <w:ind w:left="425.19685039370046" w:hanging="283.46456692913335"/>
              <w:rPr>
                <w:sz w:val="22"/>
                <w:szCs w:val="22"/>
                <w:u w:val="none"/>
              </w:rPr>
            </w:pPr>
            <w:r w:rsidDel="00000000" w:rsidR="00000000" w:rsidRPr="00000000">
              <w:rPr>
                <w:sz w:val="22"/>
                <w:szCs w:val="22"/>
                <w:rtl w:val="0"/>
              </w:rPr>
              <w:t xml:space="preserve">Unit Test</w:t>
            </w:r>
          </w:p>
          <w:p w:rsidR="00000000" w:rsidDel="00000000" w:rsidP="00000000" w:rsidRDefault="00000000" w:rsidRPr="00000000" w14:paraId="00000078">
            <w:pPr>
              <w:numPr>
                <w:ilvl w:val="0"/>
                <w:numId w:val="2"/>
              </w:numPr>
              <w:ind w:left="425.19685039370046" w:hanging="283.46456692913335"/>
              <w:rPr>
                <w:sz w:val="22"/>
                <w:szCs w:val="22"/>
                <w:u w:val="none"/>
              </w:rPr>
            </w:pPr>
            <w:r w:rsidDel="00000000" w:rsidR="00000000" w:rsidRPr="00000000">
              <w:rPr>
                <w:sz w:val="22"/>
                <w:szCs w:val="22"/>
                <w:rtl w:val="0"/>
              </w:rPr>
              <w:t xml:space="preserve">Lab:  Types of Reactions</w:t>
            </w:r>
          </w:p>
          <w:p w:rsidR="00000000" w:rsidDel="00000000" w:rsidP="00000000" w:rsidRDefault="00000000" w:rsidRPr="00000000" w14:paraId="00000079">
            <w:pPr>
              <w:numPr>
                <w:ilvl w:val="0"/>
                <w:numId w:val="2"/>
              </w:numPr>
              <w:ind w:left="425.19685039370046" w:hanging="283.46456692913335"/>
              <w:rPr>
                <w:sz w:val="22"/>
                <w:szCs w:val="22"/>
                <w:u w:val="none"/>
              </w:rPr>
            </w:pPr>
            <w:r w:rsidDel="00000000" w:rsidR="00000000" w:rsidRPr="00000000">
              <w:rPr>
                <w:sz w:val="22"/>
                <w:szCs w:val="22"/>
                <w:rtl w:val="0"/>
              </w:rPr>
              <w:t xml:space="preserve">Quizzes</w:t>
            </w:r>
          </w:p>
        </w:tc>
        <w:tc>
          <w:tcPr/>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18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C">
            <w:pPr>
              <w:spacing w:after="240" w:before="240" w:lineRule="auto"/>
              <w:rPr>
                <w:b w:val="1"/>
                <w:sz w:val="22"/>
                <w:szCs w:val="22"/>
              </w:rPr>
            </w:pPr>
            <w:r w:rsidDel="00000000" w:rsidR="00000000" w:rsidRPr="00000000">
              <w:rPr>
                <w:b w:val="1"/>
                <w:sz w:val="22"/>
                <w:szCs w:val="22"/>
                <w:rtl w:val="0"/>
              </w:rPr>
              <w:t xml:space="preserve">Quantities in Chemical Reactions</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numPr>
                <w:ilvl w:val="0"/>
                <w:numId w:val="7"/>
              </w:numPr>
              <w:spacing w:after="0" w:afterAutospacing="0" w:lineRule="auto"/>
              <w:ind w:left="425.19685039370086" w:hanging="283.46456692913375"/>
              <w:rPr>
                <w:sz w:val="20"/>
                <w:szCs w:val="20"/>
              </w:rPr>
            </w:pPr>
            <w:r w:rsidDel="00000000" w:rsidR="00000000" w:rsidRPr="00000000">
              <w:rPr>
                <w:sz w:val="20"/>
                <w:szCs w:val="20"/>
                <w:rtl w:val="0"/>
              </w:rPr>
              <w:t xml:space="preserve">Relationships in chemical reactions can be described quantitatively.</w:t>
            </w:r>
          </w:p>
          <w:p w:rsidR="00000000" w:rsidDel="00000000" w:rsidP="00000000" w:rsidRDefault="00000000" w:rsidRPr="00000000" w14:paraId="00000080">
            <w:pPr>
              <w:numPr>
                <w:ilvl w:val="0"/>
                <w:numId w:val="7"/>
              </w:numPr>
              <w:spacing w:after="240" w:lineRule="auto"/>
              <w:ind w:left="425.19685039370086" w:hanging="283.46456692913375"/>
              <w:rPr>
                <w:sz w:val="20"/>
                <w:szCs w:val="20"/>
              </w:rPr>
            </w:pPr>
            <w:r w:rsidDel="00000000" w:rsidR="00000000" w:rsidRPr="00000000">
              <w:rPr>
                <w:sz w:val="20"/>
                <w:szCs w:val="20"/>
                <w:rtl w:val="0"/>
              </w:rPr>
              <w:t xml:space="preserve">The efficiency of chemical reactions can be determined and optimized by applying an understanding of quantitative relationships in such reactions.</w:t>
            </w:r>
          </w:p>
        </w:tc>
        <w:tc>
          <w:tcPr/>
          <w:p w:rsidR="00000000" w:rsidDel="00000000" w:rsidP="00000000" w:rsidRDefault="00000000" w:rsidRPr="00000000" w14:paraId="00000081">
            <w:pPr>
              <w:numPr>
                <w:ilvl w:val="0"/>
                <w:numId w:val="8"/>
              </w:numPr>
              <w:ind w:left="425.19685039370046" w:hanging="283.46456692913335"/>
              <w:rPr>
                <w:sz w:val="22"/>
                <w:szCs w:val="22"/>
                <w:u w:val="none"/>
              </w:rPr>
            </w:pPr>
            <w:r w:rsidDel="00000000" w:rsidR="00000000" w:rsidRPr="00000000">
              <w:rPr>
                <w:sz w:val="22"/>
                <w:szCs w:val="22"/>
                <w:rtl w:val="0"/>
              </w:rPr>
              <w:t xml:space="preserve">Unit Test</w:t>
            </w:r>
          </w:p>
          <w:p w:rsidR="00000000" w:rsidDel="00000000" w:rsidP="00000000" w:rsidRDefault="00000000" w:rsidRPr="00000000" w14:paraId="00000082">
            <w:pPr>
              <w:numPr>
                <w:ilvl w:val="0"/>
                <w:numId w:val="8"/>
              </w:numPr>
              <w:ind w:left="425.19685039370046" w:hanging="283.46456692913335"/>
              <w:rPr>
                <w:sz w:val="22"/>
                <w:szCs w:val="22"/>
                <w:u w:val="none"/>
              </w:rPr>
            </w:pPr>
            <w:r w:rsidDel="00000000" w:rsidR="00000000" w:rsidRPr="00000000">
              <w:rPr>
                <w:sz w:val="22"/>
                <w:szCs w:val="22"/>
                <w:rtl w:val="0"/>
              </w:rPr>
              <w:t xml:space="preserve">Lab:  Combustion of Magnesium</w:t>
            </w:r>
          </w:p>
          <w:p w:rsidR="00000000" w:rsidDel="00000000" w:rsidP="00000000" w:rsidRDefault="00000000" w:rsidRPr="00000000" w14:paraId="00000083">
            <w:pPr>
              <w:numPr>
                <w:ilvl w:val="0"/>
                <w:numId w:val="8"/>
              </w:numPr>
              <w:ind w:left="425.19685039370046" w:hanging="283.46456692913335"/>
              <w:rPr>
                <w:sz w:val="22"/>
                <w:szCs w:val="22"/>
              </w:rPr>
            </w:pPr>
            <w:r w:rsidDel="00000000" w:rsidR="00000000" w:rsidRPr="00000000">
              <w:rPr>
                <w:sz w:val="22"/>
                <w:szCs w:val="22"/>
                <w:rtl w:val="0"/>
              </w:rPr>
              <w:t xml:space="preserve">Lab:  Formula of a Hydrate</w:t>
            </w:r>
          </w:p>
          <w:p w:rsidR="00000000" w:rsidDel="00000000" w:rsidP="00000000" w:rsidRDefault="00000000" w:rsidRPr="00000000" w14:paraId="00000084">
            <w:pPr>
              <w:numPr>
                <w:ilvl w:val="0"/>
                <w:numId w:val="8"/>
              </w:numPr>
              <w:ind w:left="425.19685039370046" w:hanging="283.46456692913335"/>
              <w:rPr>
                <w:sz w:val="22"/>
                <w:szCs w:val="22"/>
                <w:u w:val="none"/>
              </w:rPr>
            </w:pPr>
            <w:r w:rsidDel="00000000" w:rsidR="00000000" w:rsidRPr="00000000">
              <w:rPr>
                <w:sz w:val="22"/>
                <w:szCs w:val="22"/>
                <w:rtl w:val="0"/>
              </w:rPr>
              <w:t xml:space="preserve">Quizzes</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18 classes</w:t>
            </w:r>
          </w:p>
        </w:tc>
      </w:tr>
      <w:tr>
        <w:trPr>
          <w:cantSplit w:val="0"/>
          <w:trHeight w:val="233" w:hRule="atLeast"/>
          <w:tblHeader w:val="0"/>
        </w:trPr>
        <w:tc>
          <w:tcPr/>
          <w:p w:rsidR="00000000" w:rsidDel="00000000" w:rsidP="00000000" w:rsidRDefault="00000000" w:rsidRPr="00000000" w14:paraId="00000086">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7">
            <w:pPr>
              <w:spacing w:after="240" w:before="240" w:lineRule="auto"/>
              <w:rPr>
                <w:b w:val="1"/>
                <w:sz w:val="22"/>
                <w:szCs w:val="22"/>
              </w:rPr>
            </w:pPr>
            <w:r w:rsidDel="00000000" w:rsidR="00000000" w:rsidRPr="00000000">
              <w:rPr>
                <w:b w:val="1"/>
                <w:sz w:val="22"/>
                <w:szCs w:val="22"/>
                <w:rtl w:val="0"/>
              </w:rPr>
              <w:t xml:space="preserve">Solutions and Solubility</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numPr>
                <w:ilvl w:val="0"/>
                <w:numId w:val="5"/>
              </w:numPr>
              <w:spacing w:after="0" w:afterAutospacing="0" w:lineRule="auto"/>
              <w:ind w:left="425.19685039370086" w:hanging="283.46456692913375"/>
              <w:rPr>
                <w:sz w:val="20"/>
                <w:szCs w:val="20"/>
              </w:rPr>
            </w:pPr>
            <w:r w:rsidDel="00000000" w:rsidR="00000000" w:rsidRPr="00000000">
              <w:rPr>
                <w:sz w:val="20"/>
                <w:szCs w:val="20"/>
                <w:rtl w:val="0"/>
              </w:rPr>
              <w:t xml:space="preserve">Properties of solutions can be described qualitatively and quantitatively, and can be predicted.</w:t>
            </w:r>
          </w:p>
          <w:p w:rsidR="00000000" w:rsidDel="00000000" w:rsidP="00000000" w:rsidRDefault="00000000" w:rsidRPr="00000000" w14:paraId="0000008B">
            <w:pPr>
              <w:numPr>
                <w:ilvl w:val="0"/>
                <w:numId w:val="5"/>
              </w:numPr>
              <w:spacing w:after="0" w:afterAutospacing="0" w:lineRule="auto"/>
              <w:ind w:left="425.19685039370086" w:hanging="283.46456692913375"/>
              <w:rPr>
                <w:sz w:val="20"/>
                <w:szCs w:val="20"/>
              </w:rPr>
            </w:pPr>
            <w:r w:rsidDel="00000000" w:rsidR="00000000" w:rsidRPr="00000000">
              <w:rPr>
                <w:sz w:val="20"/>
                <w:szCs w:val="20"/>
                <w:rtl w:val="0"/>
              </w:rPr>
              <w:t xml:space="preserve">Living things depend for their survival on the unique physical and chemical properties of water.</w:t>
            </w:r>
          </w:p>
          <w:p w:rsidR="00000000" w:rsidDel="00000000" w:rsidP="00000000" w:rsidRDefault="00000000" w:rsidRPr="00000000" w14:paraId="0000008C">
            <w:pPr>
              <w:numPr>
                <w:ilvl w:val="0"/>
                <w:numId w:val="5"/>
              </w:numPr>
              <w:spacing w:after="240" w:lineRule="auto"/>
              <w:ind w:left="425.19685039370086" w:hanging="283.46456692913375"/>
              <w:rPr>
                <w:sz w:val="20"/>
                <w:szCs w:val="20"/>
              </w:rPr>
            </w:pPr>
            <w:r w:rsidDel="00000000" w:rsidR="00000000" w:rsidRPr="00000000">
              <w:rPr>
                <w:sz w:val="20"/>
                <w:szCs w:val="20"/>
                <w:rtl w:val="0"/>
              </w:rPr>
              <w:t xml:space="preserve">People have a responsibility to protect the integrity of Earth’s water resources.</w:t>
            </w:r>
          </w:p>
        </w:tc>
        <w:tc>
          <w:tcPr/>
          <w:p w:rsidR="00000000" w:rsidDel="00000000" w:rsidP="00000000" w:rsidRDefault="00000000" w:rsidRPr="00000000" w14:paraId="0000008D">
            <w:pPr>
              <w:numPr>
                <w:ilvl w:val="0"/>
                <w:numId w:val="11"/>
              </w:numPr>
              <w:ind w:left="425.19685039370046" w:hanging="283.46456692913335"/>
              <w:rPr>
                <w:sz w:val="22"/>
                <w:szCs w:val="22"/>
                <w:u w:val="none"/>
              </w:rPr>
            </w:pPr>
            <w:r w:rsidDel="00000000" w:rsidR="00000000" w:rsidRPr="00000000">
              <w:rPr>
                <w:sz w:val="22"/>
                <w:szCs w:val="22"/>
                <w:rtl w:val="0"/>
              </w:rPr>
              <w:t xml:space="preserve">Unit Test</w:t>
            </w:r>
          </w:p>
          <w:p w:rsidR="00000000" w:rsidDel="00000000" w:rsidP="00000000" w:rsidRDefault="00000000" w:rsidRPr="00000000" w14:paraId="0000008E">
            <w:pPr>
              <w:numPr>
                <w:ilvl w:val="0"/>
                <w:numId w:val="11"/>
              </w:numPr>
              <w:ind w:left="425.19685039370046" w:hanging="283.46456692913335"/>
              <w:rPr>
                <w:sz w:val="22"/>
                <w:szCs w:val="22"/>
                <w:u w:val="none"/>
              </w:rPr>
            </w:pPr>
            <w:r w:rsidDel="00000000" w:rsidR="00000000" w:rsidRPr="00000000">
              <w:rPr>
                <w:sz w:val="22"/>
                <w:szCs w:val="22"/>
                <w:rtl w:val="0"/>
              </w:rPr>
              <w:t xml:space="preserve">Lab:  Diluting Solutions</w:t>
            </w:r>
          </w:p>
          <w:p w:rsidR="00000000" w:rsidDel="00000000" w:rsidP="00000000" w:rsidRDefault="00000000" w:rsidRPr="00000000" w14:paraId="0000008F">
            <w:pPr>
              <w:numPr>
                <w:ilvl w:val="0"/>
                <w:numId w:val="11"/>
              </w:numPr>
              <w:ind w:left="425.19685039370046" w:hanging="283.46456692913335"/>
              <w:rPr>
                <w:sz w:val="22"/>
                <w:szCs w:val="22"/>
                <w:u w:val="none"/>
              </w:rPr>
            </w:pPr>
            <w:r w:rsidDel="00000000" w:rsidR="00000000" w:rsidRPr="00000000">
              <w:rPr>
                <w:sz w:val="22"/>
                <w:szCs w:val="22"/>
                <w:rtl w:val="0"/>
              </w:rPr>
              <w:t xml:space="preserve">Lab:  Titrations</w:t>
            </w:r>
          </w:p>
          <w:p w:rsidR="00000000" w:rsidDel="00000000" w:rsidP="00000000" w:rsidRDefault="00000000" w:rsidRPr="00000000" w14:paraId="00000090">
            <w:pPr>
              <w:numPr>
                <w:ilvl w:val="0"/>
                <w:numId w:val="11"/>
              </w:numPr>
              <w:ind w:left="425.19685039370046" w:hanging="283.46456692913335"/>
              <w:rPr>
                <w:sz w:val="22"/>
                <w:szCs w:val="22"/>
                <w:u w:val="none"/>
              </w:rPr>
            </w:pPr>
            <w:r w:rsidDel="00000000" w:rsidR="00000000" w:rsidRPr="00000000">
              <w:rPr>
                <w:sz w:val="22"/>
                <w:szCs w:val="22"/>
                <w:rtl w:val="0"/>
              </w:rPr>
              <w:t xml:space="preserve">Quizzes</w:t>
            </w:r>
          </w:p>
        </w:tc>
        <w:tc>
          <w:tcPr/>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92">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93">
            <w:pPr>
              <w:rPr>
                <w:sz w:val="22"/>
                <w:szCs w:val="22"/>
              </w:rPr>
            </w:pPr>
            <w:r w:rsidDel="00000000" w:rsidR="00000000" w:rsidRPr="00000000">
              <w:rPr>
                <w:b w:val="1"/>
                <w:sz w:val="22"/>
                <w:szCs w:val="22"/>
                <w:rtl w:val="0"/>
              </w:rPr>
              <w:t xml:space="preserve">Gases and Atmospheric Chemistry</w:t>
            </w:r>
            <w:r w:rsidDel="00000000" w:rsidR="00000000" w:rsidRPr="00000000">
              <w:rPr>
                <w:rtl w:val="0"/>
              </w:rPr>
            </w:r>
          </w:p>
          <w:p w:rsidR="00000000" w:rsidDel="00000000" w:rsidP="00000000" w:rsidRDefault="00000000" w:rsidRPr="00000000" w14:paraId="00000094">
            <w:pPr>
              <w:rPr>
                <w:b w:val="1"/>
                <w:sz w:val="22"/>
                <w:szCs w:val="22"/>
              </w:rPr>
            </w:pPr>
            <w:r w:rsidDel="00000000" w:rsidR="00000000" w:rsidRPr="00000000">
              <w:rPr>
                <w:rtl w:val="0"/>
              </w:rPr>
            </w:r>
          </w:p>
        </w:tc>
        <w:tc>
          <w:tcPr/>
          <w:p w:rsidR="00000000" w:rsidDel="00000000" w:rsidP="00000000" w:rsidRDefault="00000000" w:rsidRPr="00000000" w14:paraId="00000095">
            <w:pPr>
              <w:numPr>
                <w:ilvl w:val="0"/>
                <w:numId w:val="9"/>
              </w:numPr>
              <w:spacing w:after="0" w:afterAutospacing="0" w:lineRule="auto"/>
              <w:ind w:left="425.19685039370086" w:hanging="283.46456692913375"/>
              <w:rPr>
                <w:sz w:val="20"/>
                <w:szCs w:val="20"/>
              </w:rPr>
            </w:pPr>
            <w:r w:rsidDel="00000000" w:rsidR="00000000" w:rsidRPr="00000000">
              <w:rPr>
                <w:sz w:val="20"/>
                <w:szCs w:val="20"/>
                <w:rtl w:val="0"/>
              </w:rPr>
              <w:t xml:space="preserve">Properties of gases can be described qualitatively and quantitatively, and can be predicted.</w:t>
            </w:r>
          </w:p>
          <w:p w:rsidR="00000000" w:rsidDel="00000000" w:rsidP="00000000" w:rsidRDefault="00000000" w:rsidRPr="00000000" w14:paraId="00000096">
            <w:pPr>
              <w:numPr>
                <w:ilvl w:val="0"/>
                <w:numId w:val="9"/>
              </w:numPr>
              <w:spacing w:after="0" w:afterAutospacing="0" w:lineRule="auto"/>
              <w:ind w:left="425.19685039370086" w:hanging="283.46456692913375"/>
              <w:rPr>
                <w:sz w:val="20"/>
                <w:szCs w:val="20"/>
              </w:rPr>
            </w:pPr>
            <w:r w:rsidDel="00000000" w:rsidR="00000000" w:rsidRPr="00000000">
              <w:rPr>
                <w:sz w:val="20"/>
                <w:szCs w:val="20"/>
                <w:rtl w:val="0"/>
              </w:rPr>
              <w:t xml:space="preserve">Air quality can be affected by human activities and technology.</w:t>
            </w:r>
          </w:p>
          <w:p w:rsidR="00000000" w:rsidDel="00000000" w:rsidP="00000000" w:rsidRDefault="00000000" w:rsidRPr="00000000" w14:paraId="00000097">
            <w:pPr>
              <w:numPr>
                <w:ilvl w:val="0"/>
                <w:numId w:val="9"/>
              </w:numPr>
              <w:spacing w:after="240" w:lineRule="auto"/>
              <w:ind w:left="425.19685039370086" w:hanging="283.46456692913375"/>
              <w:rPr>
                <w:sz w:val="20"/>
                <w:szCs w:val="20"/>
              </w:rPr>
            </w:pPr>
            <w:r w:rsidDel="00000000" w:rsidR="00000000" w:rsidRPr="00000000">
              <w:rPr>
                <w:sz w:val="20"/>
                <w:szCs w:val="20"/>
                <w:rtl w:val="0"/>
              </w:rPr>
              <w:t xml:space="preserve">People have a responsibility to protect the integrity of Earth’s atmosphere.</w:t>
            </w:r>
          </w:p>
        </w:tc>
        <w:tc>
          <w:tcPr/>
          <w:p w:rsidR="00000000" w:rsidDel="00000000" w:rsidP="00000000" w:rsidRDefault="00000000" w:rsidRPr="00000000" w14:paraId="00000098">
            <w:pPr>
              <w:numPr>
                <w:ilvl w:val="0"/>
                <w:numId w:val="3"/>
              </w:numPr>
              <w:ind w:left="425.19685039370046" w:hanging="283.46456692913335"/>
              <w:rPr>
                <w:sz w:val="22"/>
                <w:szCs w:val="22"/>
                <w:u w:val="none"/>
              </w:rPr>
            </w:pPr>
            <w:r w:rsidDel="00000000" w:rsidR="00000000" w:rsidRPr="00000000">
              <w:rPr>
                <w:sz w:val="22"/>
                <w:szCs w:val="22"/>
                <w:rtl w:val="0"/>
              </w:rPr>
              <w:t xml:space="preserve">Unit Test</w:t>
            </w:r>
          </w:p>
          <w:p w:rsidR="00000000" w:rsidDel="00000000" w:rsidP="00000000" w:rsidRDefault="00000000" w:rsidRPr="00000000" w14:paraId="00000099">
            <w:pPr>
              <w:numPr>
                <w:ilvl w:val="0"/>
                <w:numId w:val="3"/>
              </w:numPr>
              <w:ind w:left="425.19685039370046" w:hanging="283.46456692913335"/>
              <w:rPr>
                <w:sz w:val="22"/>
                <w:szCs w:val="22"/>
                <w:u w:val="none"/>
              </w:rPr>
            </w:pPr>
            <w:r w:rsidDel="00000000" w:rsidR="00000000" w:rsidRPr="00000000">
              <w:rPr>
                <w:sz w:val="22"/>
                <w:szCs w:val="22"/>
                <w:rtl w:val="0"/>
              </w:rPr>
              <w:t xml:space="preserve">Quizzes</w:t>
            </w:r>
          </w:p>
        </w:tc>
        <w:tc>
          <w:tcPr/>
          <w:p w:rsidR="00000000" w:rsidDel="00000000" w:rsidP="00000000" w:rsidRDefault="00000000" w:rsidRPr="00000000" w14:paraId="0000009A">
            <w:pPr>
              <w:rPr>
                <w:b w:val="1"/>
                <w:sz w:val="22"/>
                <w:szCs w:val="22"/>
              </w:rPr>
            </w:pPr>
            <w:r w:rsidDel="00000000" w:rsidR="00000000" w:rsidRPr="00000000">
              <w:rPr>
                <w:b w:val="1"/>
                <w:sz w:val="22"/>
                <w:szCs w:val="22"/>
                <w:rtl w:val="0"/>
              </w:rPr>
              <w:t xml:space="preserve">7 classes</w:t>
            </w:r>
          </w:p>
        </w:tc>
      </w:tr>
      <w:tr>
        <w:trPr>
          <w:cantSplit w:val="0"/>
          <w:trHeight w:val="233" w:hRule="atLeast"/>
          <w:tblHeader w:val="0"/>
        </w:trPr>
        <w:tc>
          <w:tcPr/>
          <w:p w:rsidR="00000000" w:rsidDel="00000000" w:rsidP="00000000" w:rsidRDefault="00000000" w:rsidRPr="00000000" w14:paraId="0000009B">
            <w:pPr>
              <w:rPr>
                <w:sz w:val="22"/>
                <w:szCs w:val="22"/>
              </w:rPr>
            </w:pPr>
            <w:r w:rsidDel="00000000" w:rsidR="00000000" w:rsidRPr="00000000">
              <w:rPr>
                <w:sz w:val="22"/>
                <w:szCs w:val="22"/>
                <w:rtl w:val="0"/>
              </w:rPr>
              <w:t xml:space="preserve">Culminating and Other Task(s)</w:t>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b w:val="1"/>
                <w:sz w:val="22"/>
                <w:szCs w:val="22"/>
              </w:rPr>
            </w:pPr>
            <w:r w:rsidDel="00000000" w:rsidR="00000000" w:rsidRPr="00000000">
              <w:rPr>
                <w:rtl w:val="0"/>
              </w:rPr>
            </w:r>
          </w:p>
        </w:tc>
        <w:tc>
          <w:tcPr/>
          <w:p w:rsidR="00000000" w:rsidDel="00000000" w:rsidP="00000000" w:rsidRDefault="00000000" w:rsidRPr="00000000" w14:paraId="0000009E">
            <w:pPr>
              <w:rPr>
                <w:b w:val="1"/>
                <w:sz w:val="22"/>
                <w:szCs w:val="22"/>
              </w:rPr>
            </w:pPr>
            <w:r w:rsidDel="00000000" w:rsidR="00000000" w:rsidRPr="00000000">
              <w:rPr>
                <w:rtl w:val="0"/>
              </w:rPr>
            </w:r>
          </w:p>
        </w:tc>
        <w:tc>
          <w:tcPr/>
          <w:p w:rsidR="00000000" w:rsidDel="00000000" w:rsidP="00000000" w:rsidRDefault="00000000" w:rsidRPr="00000000" w14:paraId="0000009F">
            <w:pPr>
              <w:numPr>
                <w:ilvl w:val="0"/>
                <w:numId w:val="4"/>
              </w:numPr>
              <w:ind w:left="425.19685039370046" w:hanging="283.46456692913335"/>
              <w:rPr>
                <w:sz w:val="22"/>
                <w:szCs w:val="22"/>
                <w:u w:val="none"/>
              </w:rPr>
            </w:pPr>
            <w:r w:rsidDel="00000000" w:rsidR="00000000" w:rsidRPr="00000000">
              <w:rPr>
                <w:sz w:val="22"/>
                <w:szCs w:val="22"/>
                <w:rtl w:val="0"/>
              </w:rPr>
              <w:t xml:space="preserve">Lab Summative</w:t>
            </w:r>
          </w:p>
          <w:p w:rsidR="00000000" w:rsidDel="00000000" w:rsidP="00000000" w:rsidRDefault="00000000" w:rsidRPr="00000000" w14:paraId="000000A0">
            <w:pPr>
              <w:numPr>
                <w:ilvl w:val="0"/>
                <w:numId w:val="4"/>
              </w:numPr>
              <w:ind w:left="425.19685039370046" w:hanging="283.46456692913335"/>
              <w:rPr>
                <w:sz w:val="22"/>
                <w:szCs w:val="22"/>
              </w:rPr>
            </w:pPr>
            <w:r w:rsidDel="00000000" w:rsidR="00000000" w:rsidRPr="00000000">
              <w:rPr>
                <w:sz w:val="22"/>
                <w:szCs w:val="22"/>
                <w:rtl w:val="0"/>
              </w:rPr>
              <w:t xml:space="preserve">Global Chemist project</w:t>
            </w:r>
          </w:p>
        </w:tc>
        <w:tc>
          <w:tcPr/>
          <w:p w:rsidR="00000000" w:rsidDel="00000000" w:rsidP="00000000" w:rsidRDefault="00000000" w:rsidRPr="00000000" w14:paraId="000000A1">
            <w:pPr>
              <w:rPr>
                <w:b w:val="1"/>
                <w:sz w:val="22"/>
                <w:szCs w:val="22"/>
              </w:rPr>
            </w:pPr>
            <w:r w:rsidDel="00000000" w:rsidR="00000000" w:rsidRPr="00000000">
              <w:rPr>
                <w:b w:val="1"/>
                <w:sz w:val="22"/>
                <w:szCs w:val="22"/>
                <w:rtl w:val="0"/>
              </w:rPr>
              <w:t xml:space="preserve">3 classes</w:t>
            </w:r>
          </w:p>
        </w:tc>
      </w:tr>
    </w:tbl>
    <w:p w:rsidR="00000000" w:rsidDel="00000000" w:rsidP="00000000" w:rsidRDefault="00000000" w:rsidRPr="00000000" w14:paraId="000000A2">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