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PAL2O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10 Large Group Activities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Substance use and abuse, nutrition and healthy choices, mental health and well-being </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