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CHW3M</w:t>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World H</w:t>
            </w:r>
            <w:r w:rsidDel="00000000" w:rsidR="00000000" w:rsidRPr="00000000">
              <w:rPr>
                <w:rFonts w:ascii="Arial Narrow" w:cs="Arial Narrow" w:eastAsia="Arial Narrow" w:hAnsi="Arial Narrow"/>
                <w:rtl w:val="0"/>
              </w:rPr>
              <w:t xml:space="preserve">istory to the End of the Fifteenth Century</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Social Science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416-395-3210</w:t>
            </w:r>
            <w:r w:rsidDel="00000000" w:rsidR="00000000" w:rsidRPr="00000000">
              <w:rPr>
                <w:rtl w:val="0"/>
              </w:rPr>
            </w:r>
          </w:p>
          <w:p w:rsidR="00000000" w:rsidDel="00000000" w:rsidP="00000000" w:rsidRDefault="00000000" w:rsidRPr="00000000" w14:paraId="0000000A">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x20075</w:t>
            </w:r>
          </w:p>
        </w:tc>
      </w:tr>
    </w:tbl>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0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this course, students will  investigate the history of humanity from the earliest times to the sixteenth century.  Students will analyze diverse societies from around the world, with regard to the political, cultural and economic structures and historical forces that form the foundation of the modern world.  Also examined will be the influence of selected individuals and groups, as well as particular innovations, and will develop skills of historical inquiry, organization, analysis, and communication. </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1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1A">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0">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4">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7">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8">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35%</w:t>
            </w:r>
          </w:p>
        </w:tc>
        <w:tc>
          <w:tcPr>
            <w:vAlign w:val="center"/>
          </w:tcPr>
          <w:p w:rsidR="00000000" w:rsidDel="00000000" w:rsidP="00000000" w:rsidRDefault="00000000" w:rsidRPr="00000000" w14:paraId="000000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Knowledge &amp; Understanding</w:t>
            </w:r>
          </w:p>
        </w:tc>
        <w:tc>
          <w:tcPr>
            <w:vMerge w:val="restart"/>
            <w:vAlign w:val="center"/>
          </w:tcPr>
          <w:p w:rsidR="00000000" w:rsidDel="00000000" w:rsidP="00000000" w:rsidRDefault="00000000" w:rsidRPr="00000000" w14:paraId="0000002A">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2B">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2C">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2E">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30%</w:t>
            </w:r>
          </w:p>
        </w:tc>
        <w:tc>
          <w:tcPr>
            <w:vAlign w:val="center"/>
          </w:tcPr>
          <w:p w:rsidR="00000000" w:rsidDel="00000000" w:rsidP="00000000" w:rsidRDefault="00000000" w:rsidRPr="00000000" w14:paraId="0000002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Thinking &amp; Inquiry</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4">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Align w:val="center"/>
          </w:tcPr>
          <w:p w:rsidR="00000000" w:rsidDel="00000000" w:rsidP="00000000" w:rsidRDefault="00000000" w:rsidRPr="00000000" w14:paraId="0000003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Application</w:t>
            </w:r>
          </w:p>
        </w:tc>
        <w:tc>
          <w:tcPr>
            <w:vMerge w:val="continue"/>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7">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Merge w:val="restart"/>
            <w:vAlign w:val="center"/>
          </w:tcPr>
          <w:p w:rsidR="00000000" w:rsidDel="00000000" w:rsidP="00000000" w:rsidRDefault="00000000" w:rsidRPr="00000000" w14:paraId="00000038">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A">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15%</w:t>
            </w:r>
          </w:p>
        </w:tc>
        <w:tc>
          <w:tcPr>
            <w:vAlign w:val="center"/>
          </w:tcPr>
          <w:p w:rsidR="00000000" w:rsidDel="00000000" w:rsidP="00000000" w:rsidRDefault="00000000" w:rsidRPr="00000000" w14:paraId="000000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w:t>
            </w:r>
          </w:p>
        </w:tc>
        <w:tc>
          <w:tcPr>
            <w:vMerge w:val="continue"/>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3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2">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43">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44">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45">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9">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4A">
            <w:pPr>
              <w:widowControl w:val="0"/>
              <w:spacing w:line="240"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 The textbook for this course is </w:t>
            </w:r>
            <w:r w:rsidDel="00000000" w:rsidR="00000000" w:rsidRPr="00000000">
              <w:rPr>
                <w:rFonts w:ascii="Arial Narrow" w:cs="Arial Narrow" w:eastAsia="Arial Narrow" w:hAnsi="Arial Narrow"/>
                <w:sz w:val="20"/>
                <w:szCs w:val="20"/>
                <w:u w:val="single"/>
                <w:rtl w:val="0"/>
              </w:rPr>
              <w:t xml:space="preserve">World Civilizations</w:t>
            </w:r>
            <w:r w:rsidDel="00000000" w:rsidR="00000000" w:rsidRPr="00000000">
              <w:rPr>
                <w:rFonts w:ascii="Arial Narrow" w:cs="Arial Narrow" w:eastAsia="Arial Narrow" w:hAnsi="Arial Narrow"/>
                <w:sz w:val="20"/>
                <w:szCs w:val="20"/>
                <w:rtl w:val="0"/>
              </w:rPr>
              <w:t xml:space="preserve">.  Students will be issued this book at the beginning of the course. The replacement </w:t>
            </w:r>
          </w:p>
          <w:p w:rsidR="00000000" w:rsidDel="00000000" w:rsidP="00000000" w:rsidRDefault="00000000" w:rsidRPr="00000000" w14:paraId="0000004B">
            <w:pPr>
              <w:widowControl w:val="0"/>
              <w:spacing w:line="240"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cost for this textbook is $115.00.</w:t>
            </w:r>
          </w:p>
          <w:p w:rsidR="00000000" w:rsidDel="00000000" w:rsidP="00000000" w:rsidRDefault="00000000" w:rsidRPr="00000000" w14:paraId="0000004C">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5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52">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tbl>
      <w:tblPr>
        <w:tblStyle w:val="Table7"/>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4305"/>
        <w:gridCol w:w="3360"/>
        <w:gridCol w:w="1170"/>
        <w:tblGridChange w:id="0">
          <w:tblGrid>
            <w:gridCol w:w="1980"/>
            <w:gridCol w:w="4305"/>
            <w:gridCol w:w="3360"/>
            <w:gridCol w:w="1170"/>
          </w:tblGrid>
        </w:tblGridChange>
      </w:tblGrid>
      <w:tr>
        <w:trPr>
          <w:cantSplit w:val="0"/>
          <w:trHeight w:val="283" w:hRule="atLeast"/>
          <w:tblHeader w:val="0"/>
        </w:trPr>
        <w:tc>
          <w:tcPr>
            <w:gridSpan w:val="4"/>
            <w:shd w:fill="d9d9d9" w:val="clear"/>
          </w:tcPr>
          <w:p w:rsidR="00000000" w:rsidDel="00000000" w:rsidP="00000000" w:rsidRDefault="00000000" w:rsidRPr="00000000" w14:paraId="00000058">
            <w:pPr>
              <w:spacing w:after="120" w:before="120" w:lineRule="auto"/>
              <w:jc w:val="center"/>
              <w:rPr>
                <w:rFonts w:ascii="Arial Narrow" w:cs="Arial Narrow" w:eastAsia="Arial Narrow" w:hAnsi="Arial Narrow"/>
                <w:sz w:val="22"/>
                <w:szCs w:val="22"/>
                <w:u w:val="single"/>
              </w:rPr>
            </w:pPr>
            <w:r w:rsidDel="00000000" w:rsidR="00000000" w:rsidRPr="00000000">
              <w:rPr>
                <w:rFonts w:ascii="Arial Narrow" w:cs="Arial Narrow" w:eastAsia="Arial Narrow" w:hAnsi="Arial Narrow"/>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5C">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Unit/Topic/Strand</w:t>
            </w:r>
          </w:p>
        </w:tc>
        <w:tc>
          <w:tcPr>
            <w:tcBorders>
              <w:top w:color="000000" w:space="0" w:sz="4" w:val="single"/>
            </w:tcBorders>
            <w:vAlign w:val="center"/>
          </w:tcPr>
          <w:p w:rsidR="00000000" w:rsidDel="00000000" w:rsidP="00000000" w:rsidRDefault="00000000" w:rsidRPr="00000000" w14:paraId="0000005D">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5E">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p w:rsidR="00000000" w:rsidDel="00000000" w:rsidP="00000000" w:rsidRDefault="00000000" w:rsidRPr="00000000" w14:paraId="0000005F">
            <w:pPr>
              <w:jc w:val="center"/>
              <w:rPr>
                <w:rFonts w:ascii="Arial Narrow" w:cs="Arial Narrow" w:eastAsia="Arial Narrow" w:hAnsi="Arial Narrow"/>
                <w:b w:val="1"/>
                <w:sz w:val="22"/>
                <w:szCs w:val="22"/>
              </w:rPr>
            </w:pPr>
            <w:r w:rsidDel="00000000" w:rsidR="00000000" w:rsidRPr="00000000">
              <w:rPr>
                <w:rtl w:val="0"/>
              </w:rPr>
            </w:r>
          </w:p>
        </w:tc>
        <w:tc>
          <w:tcPr>
            <w:vAlign w:val="center"/>
          </w:tcPr>
          <w:p w:rsidR="00000000" w:rsidDel="00000000" w:rsidP="00000000" w:rsidRDefault="00000000" w:rsidRPr="00000000" w14:paraId="0000006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3" w:hRule="atLeast"/>
          <w:tblHeader w:val="0"/>
        </w:trPr>
        <w:tc>
          <w:tcPr/>
          <w:p w:rsidR="00000000" w:rsidDel="00000000" w:rsidP="00000000" w:rsidRDefault="00000000" w:rsidRPr="00000000" w14:paraId="0000006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6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4">
            <w:pPr>
              <w:pStyle w:val="Heading6"/>
              <w:keepNext w:val="0"/>
              <w:keepLines w:val="0"/>
              <w:spacing w:after="0" w:before="0" w:lineRule="auto"/>
              <w:jc w:val="both"/>
              <w:rPr>
                <w:rFonts w:ascii="Arial Narrow" w:cs="Arial Narrow" w:eastAsia="Arial Narrow" w:hAnsi="Arial Narrow"/>
              </w:rPr>
            </w:pPr>
            <w:bookmarkStart w:colFirst="0" w:colLast="0" w:name="_heading=h.c6jq7zuxtt2w" w:id="0"/>
            <w:bookmarkEnd w:id="0"/>
            <w:r w:rsidDel="00000000" w:rsidR="00000000" w:rsidRPr="00000000">
              <w:rPr>
                <w:rFonts w:ascii="Arial Narrow" w:cs="Arial Narrow" w:eastAsia="Arial Narrow" w:hAnsi="Arial Narrow"/>
                <w:rtl w:val="0"/>
              </w:rPr>
              <w:t xml:space="preserve">Historical Inquiry:</w:t>
            </w:r>
          </w:p>
          <w:p w:rsidR="00000000" w:rsidDel="00000000" w:rsidP="00000000" w:rsidRDefault="00000000" w:rsidRPr="00000000" w14:paraId="00000065">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Students will use the historical inquiry process when investigating aspects of world history, such as formulating questions, selecting, interpreting, and analysing evidence, and formulating conclusions. They will also have several opportunities to assess the credibility of sources and information, and use the concepts of historical thinking (i.e., historical significance, cause and consequence, continuity and change, and historical perspective) when evaluating evidence and formulating conclusions around historical topics.</w:t>
            </w:r>
            <w:r w:rsidDel="00000000" w:rsidR="00000000" w:rsidRPr="00000000">
              <w:rPr>
                <w:rtl w:val="0"/>
              </w:rPr>
            </w:r>
          </w:p>
        </w:tc>
        <w:tc>
          <w:tcPr/>
          <w:p w:rsidR="00000000" w:rsidDel="00000000" w:rsidP="00000000" w:rsidRDefault="00000000" w:rsidRPr="00000000" w14:paraId="0000006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Historical Movie Review - completed following the four stages of the research process and culminating in a research essay. </w:t>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w:t>
            </w:r>
          </w:p>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6B">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Through their examination of current historical evidence, students will learn about the development of societies from the most simple to the most complex.  They will examine the different roles of members of those societies in the early stages of human history, particularly during the Paleolithic and Neolithic historical periods.  In this unit, students will be introduced to the process of historical inquiry, analysis and interpretation and will come to understand how these interpretations shape the way history is studied.  Finally, students will examine the transition from hunter/gatherer societies to agricultural societies and evaluate the criteria a society must meet to be regarded as a civilization.</w:t>
            </w:r>
            <w:r w:rsidDel="00000000" w:rsidR="00000000" w:rsidRPr="00000000">
              <w:rPr>
                <w:rtl w:val="0"/>
              </w:rPr>
            </w:r>
          </w:p>
        </w:tc>
        <w:tc>
          <w:tcPr/>
          <w:p w:rsidR="00000000" w:rsidDel="00000000" w:rsidP="00000000" w:rsidRDefault="00000000" w:rsidRPr="00000000" w14:paraId="000000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6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Stage 1 - Research Process</w:t>
            </w:r>
          </w:p>
          <w:p w:rsidR="00000000" w:rsidDel="00000000" w:rsidP="00000000" w:rsidRDefault="00000000" w:rsidRPr="00000000" w14:paraId="0000006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Determining Historical Significance</w:t>
            </w:r>
          </w:p>
          <w:p w:rsidR="00000000" w:rsidDel="00000000" w:rsidP="00000000" w:rsidRDefault="00000000" w:rsidRPr="00000000" w14:paraId="0000006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Archaeological Dig Reflection</w:t>
            </w:r>
          </w:p>
          <w:p w:rsidR="00000000" w:rsidDel="00000000" w:rsidP="00000000" w:rsidRDefault="00000000" w:rsidRPr="00000000" w14:paraId="0000007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tc>
        <w:tc>
          <w:tcPr/>
          <w:p w:rsidR="00000000" w:rsidDel="00000000" w:rsidP="00000000" w:rsidRDefault="00000000" w:rsidRPr="00000000" w14:paraId="0000007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7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7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w:t>
            </w:r>
          </w:p>
          <w:p w:rsidR="00000000" w:rsidDel="00000000" w:rsidP="00000000" w:rsidRDefault="00000000" w:rsidRPr="00000000" w14:paraId="0000007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75">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76">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In this unit, students will have an opportunity to analyse the evolution of early societies including factors that were necessary for their development. Students will also analyse key social, economic, and political structures and developments in early societies and emerging cradles of civilization and explain their impact on people’s lives. Furthermore, they will examine how interactions within and between societies contributed to the development of civilizations.</w:t>
            </w:r>
            <w:r w:rsidDel="00000000" w:rsidR="00000000" w:rsidRPr="00000000">
              <w:rPr>
                <w:rtl w:val="0"/>
              </w:rPr>
            </w:r>
          </w:p>
        </w:tc>
        <w:tc>
          <w:tcPr/>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78">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Stage 2 - Research Process</w:t>
            </w:r>
          </w:p>
          <w:p w:rsidR="00000000" w:rsidDel="00000000" w:rsidP="00000000" w:rsidRDefault="00000000" w:rsidRPr="00000000" w14:paraId="0000007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Writing in Role - Historical Perspective</w:t>
            </w:r>
          </w:p>
          <w:p w:rsidR="00000000" w:rsidDel="00000000" w:rsidP="00000000" w:rsidRDefault="00000000" w:rsidRPr="00000000" w14:paraId="0000007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Reflection</w:t>
            </w:r>
          </w:p>
          <w:p w:rsidR="00000000" w:rsidDel="00000000" w:rsidP="00000000" w:rsidRDefault="00000000" w:rsidRPr="00000000" w14:paraId="0000007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tc>
        <w:tc>
          <w:tcPr/>
          <w:p w:rsidR="00000000" w:rsidDel="00000000" w:rsidP="00000000" w:rsidRDefault="00000000" w:rsidRPr="00000000" w14:paraId="0000007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7D">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7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3: </w:t>
            </w:r>
          </w:p>
          <w:p w:rsidR="00000000" w:rsidDel="00000000" w:rsidP="00000000" w:rsidRDefault="00000000" w:rsidRPr="00000000" w14:paraId="0000007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0">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Through the analysis of key social, economic, and political structures and developments, students will examine the structures within flourishing civilizations that helped maintain social order and encourage growth. They will also discover how various factors contributed to the stability, consolidation, and/or expansion of flourishing societies, as well as the role played by the contributions of various individuals and groups to the development of identity, citizenship, and culture.</w:t>
            </w:r>
          </w:p>
        </w:tc>
        <w:tc>
          <w:tcPr/>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May include the following:</w:t>
            </w:r>
          </w:p>
          <w:p w:rsidR="00000000" w:rsidDel="00000000" w:rsidP="00000000" w:rsidRDefault="00000000" w:rsidRPr="00000000" w14:paraId="0000008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Stage 3 - Research Process</w:t>
            </w:r>
          </w:p>
          <w:p w:rsidR="00000000" w:rsidDel="00000000" w:rsidP="00000000" w:rsidRDefault="00000000" w:rsidRPr="00000000" w14:paraId="0000008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Primary Source Analysis</w:t>
            </w:r>
          </w:p>
          <w:p w:rsidR="00000000" w:rsidDel="00000000" w:rsidP="00000000" w:rsidRDefault="00000000" w:rsidRPr="00000000" w14:paraId="0000008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Gods and Goddesses Speed-Dating </w:t>
            </w:r>
          </w:p>
          <w:p w:rsidR="00000000" w:rsidDel="00000000" w:rsidP="00000000" w:rsidRDefault="00000000" w:rsidRPr="00000000" w14:paraId="0000008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Reflection</w:t>
            </w:r>
          </w:p>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w:t>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E">
            <w:pPr>
              <w:spacing w:after="0" w:before="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Students will consider the role various social, economic, and political events and developments played in the decline of civilizations prior to 1500, and how these factors affected people living in these societies. They will analyse how interrelationships with other societies and with the environment contributed to their decline, but also why some societies succeeded in maintaining aspects of their identity despite being conquered by other civilizations. </w:t>
            </w:r>
            <w:r w:rsidDel="00000000" w:rsidR="00000000" w:rsidRPr="00000000">
              <w:rPr>
                <w:rtl w:val="0"/>
              </w:rPr>
            </w:r>
          </w:p>
        </w:tc>
        <w:tc>
          <w:tcPr/>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May include the following:</w:t>
            </w: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Stage 4 - Research Process</w:t>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Infographic</w:t>
            </w:r>
          </w:p>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Reflection</w:t>
            </w:r>
          </w:p>
          <w:p w:rsidR="00000000" w:rsidDel="00000000" w:rsidP="00000000" w:rsidRDefault="00000000" w:rsidRPr="00000000" w14:paraId="00000093">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tc>
        <w:tc>
          <w:tcPr/>
          <w:p w:rsidR="00000000" w:rsidDel="00000000" w:rsidP="00000000" w:rsidRDefault="00000000" w:rsidRPr="00000000" w14:paraId="0000009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30 hours</w:t>
            </w:r>
          </w:p>
          <w:p w:rsidR="00000000" w:rsidDel="00000000" w:rsidP="00000000" w:rsidRDefault="00000000" w:rsidRPr="00000000" w14:paraId="00000095">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(approx.)</w:t>
            </w:r>
          </w:p>
        </w:tc>
      </w:tr>
      <w:tr>
        <w:trPr>
          <w:cantSplit w:val="0"/>
          <w:trHeight w:val="233" w:hRule="atLeast"/>
          <w:tblHeader w:val="0"/>
        </w:trPr>
        <w:tc>
          <w:tcPr/>
          <w:p w:rsidR="00000000" w:rsidDel="00000000" w:rsidP="00000000" w:rsidRDefault="00000000" w:rsidRPr="00000000" w14:paraId="0000009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97">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Final Research Essay - 15%</w:t>
            </w:r>
          </w:p>
          <w:p w:rsidR="00000000" w:rsidDel="00000000" w:rsidP="00000000" w:rsidRDefault="00000000" w:rsidRPr="00000000" w14:paraId="0000009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Exam - 15%</w:t>
            </w:r>
          </w:p>
        </w:tc>
        <w:tc>
          <w:tcPr/>
          <w:p w:rsidR="00000000" w:rsidDel="00000000" w:rsidP="00000000" w:rsidRDefault="00000000" w:rsidRPr="00000000" w14:paraId="0000009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9D">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9E">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9F">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0">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A1">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zofeIPC8UdqVDcVWnbsTlBpdQ==">AMUW2mWd16F4Q8m1ZuInaFHiJW8J8rlN7OXLQY4sqxBMzdFK0LQIRpKSo+aV0F1RTL3ZOArU/SPKy/2Xrx37oTQ7WST8dbz2VWWlpMSFAG+zQeF9HHcojz3TNdpb8tl70DN8El3QiHC5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